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r>
        <w:rPr>
          <w:rFonts w:hint="eastAsia" w:ascii="Arial" w:hAnsi="Arial" w:cs="Arial"/>
          <w:b/>
          <w:bCs/>
          <w:snapToGrid w:val="0"/>
          <w:kern w:val="0"/>
          <w:sz w:val="24"/>
        </w:rPr>
        <w:t>3GPP TSG RAN WG2 Meeting #106</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  </w:t>
      </w:r>
      <w:r>
        <w:rPr>
          <w:rFonts w:hint="eastAsia" w:ascii="Arial" w:hAnsi="Arial" w:cs="Arial"/>
          <w:b/>
          <w:bCs/>
          <w:snapToGrid w:val="0"/>
          <w:kern w:val="0"/>
          <w:sz w:val="24"/>
        </w:rPr>
        <w:t>R2-190710</w:t>
      </w:r>
      <w:r>
        <w:rPr>
          <w:rFonts w:hint="eastAsia" w:ascii="Arial" w:hAnsi="Arial" w:cs="Arial"/>
          <w:b/>
          <w:bCs/>
          <w:snapToGrid w:val="0"/>
          <w:kern w:val="0"/>
          <w:sz w:val="24"/>
          <w:lang w:val="en-US" w:eastAsia="zh-CN"/>
        </w:rPr>
        <w:t>6</w:t>
      </w:r>
      <w:bookmarkStart w:id="4" w:name="_GoBack"/>
      <w:bookmarkEnd w:id="4"/>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 xml:space="preserve">Reno, USA, 13th-17th May 2019                               </w:t>
      </w:r>
      <w:bookmarkStart w:id="0" w:name="OLE_LINK2"/>
      <w:r>
        <w:rPr>
          <w:rFonts w:hint="eastAsia" w:ascii="Arial" w:hAnsi="Arial" w:cs="Arial"/>
          <w:b/>
          <w:bCs/>
          <w:kern w:val="0"/>
          <w:szCs w:val="21"/>
        </w:rPr>
        <w:t>(revision of R2-1904258)</w:t>
      </w:r>
      <w:bookmarkEnd w:id="0"/>
      <w:r>
        <w:rPr>
          <w:rFonts w:hint="eastAsia" w:ascii="Arial" w:hAnsi="Arial" w:cs="Arial"/>
          <w:b/>
          <w:bCs/>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the configuration of CHO candidates</w:t>
      </w:r>
      <w:r>
        <w:rPr>
          <w:rFonts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hint="eastAsia" w:ascii="Arial" w:hAnsi="Arial" w:cs="Arial"/>
          <w:b/>
          <w:bCs/>
          <w:snapToGrid w:val="0"/>
          <w:kern w:val="0"/>
          <w:sz w:val="24"/>
        </w:rPr>
        <w:tab/>
      </w:r>
      <w:r>
        <w:rPr>
          <w:rFonts w:ascii="Arial" w:hAnsi="Arial" w:cs="Arial"/>
          <w:b/>
          <w:bCs/>
          <w:snapToGrid w:val="0"/>
          <w:kern w:val="0"/>
          <w:sz w:val="24"/>
        </w:rPr>
        <w:t>12.3.3.1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The following agreements were made for the configuration of CHO candidates:</w:t>
      </w:r>
    </w:p>
    <w:p>
      <w:r>
        <w:rPr>
          <w:rFonts w:hint="eastAsia"/>
        </w:rPr>
        <w:t>RAN2#104:</w:t>
      </w:r>
    </w:p>
    <w:p>
      <w:pPr>
        <w:pStyle w:val="82"/>
        <w:pBdr>
          <w:top w:val="single" w:color="auto" w:sz="4" w:space="1"/>
          <w:left w:val="single" w:color="auto" w:sz="4" w:space="4"/>
          <w:bottom w:val="single" w:color="auto" w:sz="4" w:space="1"/>
          <w:right w:val="single" w:color="auto" w:sz="4" w:space="4"/>
        </w:pBdr>
        <w:rPr>
          <w:i/>
          <w:iCs/>
        </w:rPr>
      </w:pPr>
      <w:r>
        <w:rPr>
          <w:i/>
          <w:iCs/>
        </w:rPr>
        <w:t>Agreements</w:t>
      </w:r>
    </w:p>
    <w:p>
      <w:pPr>
        <w:pStyle w:val="82"/>
        <w:pBdr>
          <w:top w:val="single" w:color="auto" w:sz="4" w:space="1"/>
          <w:left w:val="single" w:color="auto" w:sz="4" w:space="4"/>
          <w:bottom w:val="single" w:color="auto" w:sz="4" w:space="1"/>
          <w:right w:val="single" w:color="auto" w:sz="4" w:space="4"/>
        </w:pBdr>
        <w:rPr>
          <w:i/>
          <w:iCs/>
        </w:rPr>
      </w:pPr>
      <w:r>
        <w:rPr>
          <w:i/>
          <w:iCs/>
        </w:rPr>
        <w:t>1</w:t>
      </w:r>
      <w:r>
        <w:rPr>
          <w:i/>
          <w:iCs/>
        </w:rPr>
        <w:tab/>
      </w:r>
      <w:r>
        <w:rPr>
          <w:i/>
          <w:iCs/>
        </w:rPr>
        <w:t>Support configuration of one or more candidate cells for conditional handover.</w:t>
      </w:r>
    </w:p>
    <w:p>
      <w:pPr>
        <w:pStyle w:val="82"/>
        <w:rPr>
          <w:i/>
          <w:iCs/>
        </w:rPr>
      </w:pPr>
      <w:r>
        <w:rPr>
          <w:i/>
          <w:iCs/>
        </w:rPr>
        <w:t>=&gt;</w:t>
      </w:r>
      <w:r>
        <w:rPr>
          <w:i/>
          <w:iCs/>
        </w:rPr>
        <w:tab/>
      </w:r>
      <w:r>
        <w:rPr>
          <w:i/>
          <w:iCs/>
        </w:rPr>
        <w:t>FFS how many candidate cells (UE and network impacts should be clarified).</w:t>
      </w:r>
    </w:p>
    <w:p>
      <w:r>
        <w:rPr>
          <w:rFonts w:hint="eastAsia"/>
        </w:rPr>
        <w:t>RAN2#105:</w:t>
      </w:r>
    </w:p>
    <w:tbl>
      <w:tblPr>
        <w:tblStyle w:val="57"/>
        <w:tblW w:w="8728" w:type="dxa"/>
        <w:tblInd w:w="12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8" w:type="dxa"/>
          </w:tcPr>
          <w:p>
            <w:pPr>
              <w:rPr>
                <w:lang w:eastAsia="en-US"/>
              </w:rPr>
            </w:pPr>
            <w:r>
              <w:rPr>
                <w:rFonts w:ascii="Arial" w:hAnsi="Arial" w:cs="Arial"/>
                <w:i/>
                <w:iCs/>
                <w:sz w:val="20"/>
                <w:szCs w:val="20"/>
                <w:lang w:eastAsia="en-US"/>
              </w:rPr>
              <w:t>1: The baseline operation for E-UTRAN Conditional HO procedure assumes HO command type of message contains HO triggering condition(s) and dedicated RRC configuration(s). UE accesses the prepared target when the relevant condition is met.</w:t>
            </w:r>
          </w:p>
        </w:tc>
      </w:tr>
    </w:tbl>
    <w:p>
      <w:r>
        <w:rPr>
          <w:rFonts w:hint="eastAsia"/>
        </w:rPr>
        <w:t>RAN2#105bis:</w:t>
      </w:r>
    </w:p>
    <w:tbl>
      <w:tblPr>
        <w:tblStyle w:val="57"/>
        <w:tblW w:w="8728" w:type="dxa"/>
        <w:tblInd w:w="12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8" w:type="dxa"/>
          </w:tcPr>
          <w:p>
            <w:pPr>
              <w:rPr>
                <w:lang w:eastAsia="en-US"/>
              </w:rPr>
            </w:pPr>
            <w:r>
              <w:rPr>
                <w:rFonts w:ascii="Arial" w:hAnsi="Arial" w:cs="Arial"/>
                <w:i/>
                <w:iCs/>
                <w:sz w:val="20"/>
                <w:szCs w:val="20"/>
                <w:lang w:eastAsia="en-US"/>
              </w:rPr>
              <w:t xml:space="preserve">1: </w:t>
            </w:r>
            <w:r>
              <w:rPr>
                <w:rFonts w:ascii="Arial" w:hAnsi="Arial" w:cs="Arial"/>
                <w:i/>
                <w:iCs/>
                <w:sz w:val="20"/>
                <w:szCs w:val="20"/>
                <w:lang w:eastAsia="en-US"/>
              </w:rPr>
              <w:tab/>
            </w:r>
            <w:r>
              <w:rPr>
                <w:rFonts w:ascii="Arial" w:hAnsi="Arial" w:cs="Arial"/>
                <w:i/>
                <w:iCs/>
                <w:sz w:val="20"/>
                <w:szCs w:val="20"/>
                <w:lang w:eastAsia="en-US"/>
              </w:rPr>
              <w:t xml:space="preserve">The CHO command contains at least the configuration information of target cell(s) and triggering conditions. </w:t>
            </w:r>
          </w:p>
        </w:tc>
      </w:tr>
    </w:tbl>
    <w:p/>
    <w:p>
      <w:r>
        <w:rPr>
          <w:rFonts w:hint="eastAsia"/>
        </w:rPr>
        <w:t>In this contribution, we give some further analysis on the configuration of CHO candidates.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Pr>
          <w:rFonts w:ascii="Arial" w:hAnsi="Arial" w:cs="Arial"/>
          <w:b w:val="0"/>
          <w:bCs w:val="0"/>
          <w:kern w:val="0"/>
          <w:sz w:val="32"/>
          <w:szCs w:val="36"/>
        </w:rPr>
        <w:t>Discussion</w:t>
      </w:r>
    </w:p>
    <w:bookmarkEnd w:id="3"/>
    <w:p>
      <w:r>
        <w:rPr>
          <w:rFonts w:hint="eastAsia"/>
        </w:rPr>
        <w:t>Per agreement at RAN2#104 and 105, we support configuration of one or more candidate cells for conditional handover and the baseline operation for E-UTRAN Conditional HO procedure assumes HO command type of message contains HO triggering condition(s) and dedicated RRC configuration(s). The question is whether the source or target generates the HO command type of message and how to incorporate the RRC configuration(s) of a candidate cell into the HO command type of message?</w:t>
      </w:r>
    </w:p>
    <w:p>
      <w:r>
        <w:t xml:space="preserve">In the legacy handover procedure, the </w:t>
      </w:r>
      <w:r>
        <w:rPr>
          <w:rFonts w:hint="eastAsia"/>
        </w:rPr>
        <w:t xml:space="preserve">HO </w:t>
      </w:r>
      <w:r>
        <w:t xml:space="preserve">command </w:t>
      </w:r>
      <w:r>
        <w:rPr>
          <w:rFonts w:hint="eastAsia"/>
        </w:rPr>
        <w:t xml:space="preserve">type of message </w:t>
      </w:r>
      <w:r>
        <w:t xml:space="preserve">(i.e. </w:t>
      </w:r>
      <w:r>
        <w:rPr>
          <w:i/>
        </w:rPr>
        <w:t>RRCConnectionReconfiguration</w:t>
      </w:r>
      <w:r>
        <w:t xml:space="preserve">) is completely generated by the target </w:t>
      </w:r>
      <w:r>
        <w:rPr>
          <w:rFonts w:hint="eastAsia"/>
        </w:rPr>
        <w:t>cell and transported transparently through the source cell to the UE</w:t>
      </w:r>
      <w:r>
        <w:t>. However</w:t>
      </w:r>
      <w:r>
        <w:rPr>
          <w:rFonts w:hint="eastAsia"/>
        </w:rPr>
        <w:t xml:space="preserve"> for Conditional HO, </w:t>
      </w:r>
      <w:r>
        <w:t xml:space="preserve">considering multiple candidate cells can be configured and the multiple candidate cells can be located in the same or different eNB(s), it should be allowed that multiple candidate cells from </w:t>
      </w:r>
      <w:r>
        <w:rPr>
          <w:rFonts w:hint="eastAsia"/>
        </w:rPr>
        <w:t xml:space="preserve">the same or </w:t>
      </w:r>
      <w:r>
        <w:t xml:space="preserve">different eNBs can be included in one </w:t>
      </w:r>
      <w:r>
        <w:rPr>
          <w:rFonts w:hint="eastAsia"/>
        </w:rPr>
        <w:t>Conditional HO command type of message</w:t>
      </w:r>
      <w:r>
        <w:t xml:space="preserve">. </w:t>
      </w:r>
    </w:p>
    <w:p>
      <w:pPr>
        <w:rPr>
          <w:b/>
          <w:bCs/>
        </w:rPr>
      </w:pPr>
      <w:r>
        <w:rPr>
          <w:rFonts w:hint="eastAsia"/>
          <w:b/>
          <w:bCs/>
        </w:rPr>
        <w:t>Observation 1: It should be allowed that multiple candidate cells from the same or different eNBs can be included in a single Conditional</w:t>
      </w:r>
      <w:r>
        <w:rPr>
          <w:rFonts w:hint="eastAsia"/>
        </w:rPr>
        <w:t xml:space="preserve"> </w:t>
      </w:r>
      <w:r>
        <w:rPr>
          <w:rFonts w:hint="eastAsia"/>
          <w:b/>
          <w:bCs/>
        </w:rPr>
        <w:t>HO command type of message.</w:t>
      </w:r>
    </w:p>
    <w:p>
      <w:r>
        <w:rPr>
          <w:rFonts w:hint="eastAsia"/>
        </w:rPr>
        <w:t>In the legacy handover procedure, with the reception of the HO command type of message, the UE would detach from the source and handover to the target immediately or in a short while</w:t>
      </w:r>
      <w:r>
        <w:t xml:space="preserve"> </w:t>
      </w:r>
      <w:r>
        <w:rPr>
          <w:rFonts w:hint="eastAsia"/>
        </w:rPr>
        <w:t xml:space="preserve">(in case of MBB). While for Conditional HO, with the reception of Conditional HO command type of message, the UE will keep staying in the source cell until one of the </w:t>
      </w:r>
      <w:r>
        <w:t>relevant</w:t>
      </w:r>
      <w:r>
        <w:rPr>
          <w:rFonts w:hint="eastAsia"/>
        </w:rPr>
        <w:t xml:space="preserve"> condition is met. So after issuing the Conditional HO command type of message to the UE, the source cell should be able to receive the response message from the UE.</w:t>
      </w:r>
    </w:p>
    <w:p>
      <w:pPr>
        <w:rPr>
          <w:b/>
          <w:bCs/>
        </w:rPr>
      </w:pPr>
      <w:r>
        <w:rPr>
          <w:rFonts w:hint="eastAsia"/>
          <w:b/>
          <w:bCs/>
        </w:rPr>
        <w:t>Observation 2: After issuing the Conditional HO command type of message to the UE, the source cell should be able to receive the response message from the UE.</w:t>
      </w:r>
    </w:p>
    <w:p>
      <w:r>
        <w:rPr>
          <w:rFonts w:hint="eastAsia"/>
        </w:rPr>
        <w:t>Given the above two considerations, the Conditional HO command type of message should be generated by the source cell.</w:t>
      </w:r>
    </w:p>
    <w:p>
      <w:r>
        <w:rPr>
          <w:rFonts w:hint="eastAsia"/>
          <w:b/>
          <w:bCs/>
        </w:rPr>
        <w:t>Proposal 1: The Conditional HO command type of message is generated by the source cell.</w:t>
      </w:r>
    </w:p>
    <w:p>
      <w:r>
        <w:rPr>
          <w:rFonts w:hint="eastAsia"/>
        </w:rPr>
        <w:t xml:space="preserve">Although the Conditional HO command type of message is generated by the source cell, the RRC configuration(s) of each candidate cells should be generated completely by the target cell(s), just like the legacy handover procedure. In addition, </w:t>
      </w:r>
      <w:r>
        <w:t xml:space="preserve">considering the source </w:t>
      </w:r>
      <w:r>
        <w:rPr>
          <w:rFonts w:hint="eastAsia"/>
        </w:rPr>
        <w:t xml:space="preserve">cell </w:t>
      </w:r>
      <w:r>
        <w:t xml:space="preserve">and target </w:t>
      </w:r>
      <w:r>
        <w:rPr>
          <w:rFonts w:hint="eastAsia"/>
        </w:rPr>
        <w:t xml:space="preserve">cell </w:t>
      </w:r>
      <w:r>
        <w:t xml:space="preserve">may use different release of RRC protocol, the source </w:t>
      </w:r>
      <w:r>
        <w:rPr>
          <w:rFonts w:hint="eastAsia"/>
        </w:rPr>
        <w:t xml:space="preserve">cell </w:t>
      </w:r>
      <w:r>
        <w:t xml:space="preserve">shall not be required to understand the </w:t>
      </w:r>
      <w:r>
        <w:rPr>
          <w:rFonts w:hint="eastAsia"/>
        </w:rPr>
        <w:t xml:space="preserve">RRC </w:t>
      </w:r>
      <w:r>
        <w:t>configuration</w:t>
      </w:r>
      <w:r>
        <w:rPr>
          <w:rFonts w:hint="eastAsia"/>
        </w:rPr>
        <w:t>(s)</w:t>
      </w:r>
      <w:r>
        <w:t xml:space="preserve"> generated by target </w:t>
      </w:r>
      <w:r>
        <w:rPr>
          <w:rFonts w:hint="eastAsia"/>
        </w:rPr>
        <w:t xml:space="preserve">cell. So </w:t>
      </w:r>
      <w:r>
        <w:t xml:space="preserve">the </w:t>
      </w:r>
      <w:r>
        <w:rPr>
          <w:rFonts w:hint="eastAsia"/>
        </w:rPr>
        <w:t xml:space="preserve">RRC </w:t>
      </w:r>
      <w:r>
        <w:t>configuration</w:t>
      </w:r>
      <w:r>
        <w:rPr>
          <w:rFonts w:hint="eastAsia"/>
        </w:rPr>
        <w:t xml:space="preserve"> which is generated completely by the </w:t>
      </w:r>
      <w:r>
        <w:t>candidate cell shall be encapsulated into a RRC container</w:t>
      </w:r>
      <w:r>
        <w:rPr>
          <w:rFonts w:hint="eastAsia"/>
        </w:rPr>
        <w:t xml:space="preserve"> and incorporated into the Conditional HO command type of message by the source cell transparently.</w:t>
      </w:r>
    </w:p>
    <w:p>
      <w:pPr>
        <w:rPr>
          <w:b/>
          <w:bCs/>
        </w:rPr>
      </w:pPr>
      <w:r>
        <w:rPr>
          <w:rFonts w:hint="eastAsia"/>
          <w:b/>
          <w:bCs/>
        </w:rPr>
        <w:t>Proposal 2: The RRC configuration of a candidate cell is generated and encapsulated into a RRC container by the target cell. Then the RRC container is incorporated into the Conditional HO command type of message by the source cell transparently.</w:t>
      </w:r>
    </w:p>
    <w:p>
      <w:r>
        <w:rPr>
          <w:rFonts w:hint="eastAsia"/>
        </w:rPr>
        <w:t xml:space="preserve">For the configuration of candidate cells, another issue on the table is whether the CFRA resources shall be allowed or not. In the legacy handover procedure, CFRA resources can be configured in the HO command to reduce the random access latency. While in CHO, since the UE may not initiate the handover procedure immediately, the CFRA resources allocated for the UE will be reserved for a long time. In addition, considering multiple potential candidate cells can be configured to </w:t>
      </w:r>
      <w:r>
        <w:t xml:space="preserve">the </w:t>
      </w:r>
      <w:r>
        <w:rPr>
          <w:rFonts w:hint="eastAsia"/>
        </w:rPr>
        <w:t xml:space="preserve">UE and </w:t>
      </w:r>
      <w:r>
        <w:t xml:space="preserve">the </w:t>
      </w:r>
      <w:r>
        <w:rPr>
          <w:rFonts w:hint="eastAsia"/>
        </w:rPr>
        <w:t>UE will only select one as the target cell, the CFRA resources reserved for the other candidate cells will be wasted during a period of time. However, although it is not so efficient to reserve CFRA resources during CHO, we think it is still beneficial in some cases (e.g. for service</w:t>
      </w:r>
      <w:r>
        <w:t>s</w:t>
      </w:r>
      <w:r>
        <w:rPr>
          <w:rFonts w:hint="eastAsia"/>
        </w:rPr>
        <w:t xml:space="preserve"> with requirement</w:t>
      </w:r>
      <w:r>
        <w:t>s</w:t>
      </w:r>
      <w:r>
        <w:rPr>
          <w:rFonts w:hint="eastAsia"/>
        </w:rPr>
        <w:t xml:space="preserve"> </w:t>
      </w:r>
      <w:r>
        <w:t>of</w:t>
      </w:r>
      <w:r>
        <w:rPr>
          <w:rFonts w:hint="eastAsia"/>
        </w:rPr>
        <w:t xml:space="preserve"> low interruption time). Also considering the configuration of CFRA resources </w:t>
      </w:r>
      <w:r>
        <w:t>is</w:t>
      </w:r>
      <w:r>
        <w:rPr>
          <w:rFonts w:hint="eastAsia"/>
        </w:rPr>
        <w:t xml:space="preserve"> supported by the current signaling and </w:t>
      </w:r>
      <w:r>
        <w:t>can</w:t>
      </w:r>
      <w:r>
        <w:rPr>
          <w:rFonts w:hint="eastAsia"/>
        </w:rPr>
        <w:t xml:space="preserve"> </w:t>
      </w:r>
      <w:r>
        <w:t xml:space="preserve">easily </w:t>
      </w:r>
      <w:r>
        <w:rPr>
          <w:rFonts w:hint="eastAsia"/>
        </w:rPr>
        <w:t>be supported in CHO signaling procedure, we think the configuration of CFRA resources for a candidate cell shall be allowed in CHO. Whether to provide CFRA resources is up to network</w:t>
      </w:r>
      <w:r>
        <w:t>’</w:t>
      </w:r>
      <w:r>
        <w:rPr>
          <w:rFonts w:hint="eastAsia"/>
        </w:rPr>
        <w:t>s implementation, and no optimization is needed to improve the resource efficiency for the configuration of CFRA in CHO.</w:t>
      </w:r>
    </w:p>
    <w:p>
      <w:pPr>
        <w:rPr>
          <w:b/>
          <w:bCs/>
        </w:rPr>
      </w:pPr>
      <w:r>
        <w:rPr>
          <w:rFonts w:hint="eastAsia"/>
          <w:b/>
          <w:bCs/>
        </w:rPr>
        <w:t>Proposal 3: Configuration of CFRA resources for a candidate cell shall be allowed in CHO. Whether to provide CFRA resources is up to network</w:t>
      </w:r>
      <w:r>
        <w:rPr>
          <w:b/>
          <w:bCs/>
        </w:rPr>
        <w:t>’</w:t>
      </w:r>
      <w:r>
        <w:rPr>
          <w:rFonts w:hint="eastAsia"/>
          <w:b/>
          <w:bCs/>
        </w:rPr>
        <w:t>s implementation and no optimization is needed to improve the resource efficiency for the configuration of CFRA in CHO.</w:t>
      </w:r>
    </w:p>
    <w:p>
      <w:r>
        <w:rPr>
          <w:rFonts w:hint="eastAsia"/>
        </w:rPr>
        <w:t>The intention of CHO is to improve the handover reliability by decoupl</w:t>
      </w:r>
      <w:r>
        <w:t>ing</w:t>
      </w:r>
      <w:r>
        <w:rPr>
          <w:rFonts w:hint="eastAsia"/>
        </w:rPr>
        <w:t xml:space="preserve"> the handover preparation phase and the handover execution phase in air interface, in which case the configuration of the candidate cell can be provided to UE when the source radio condition is still good enough to avoid the reception failure of handover command. Since the configuration of candidate cell is provided to </w:t>
      </w:r>
      <w:r>
        <w:t xml:space="preserve">the </w:t>
      </w:r>
      <w:r>
        <w:rPr>
          <w:rFonts w:hint="eastAsia"/>
        </w:rPr>
        <w:t>UE earlier than the triggering of handover, the UE has to store the configuration of candidate cells for a period of time. The configuration of the candidate cells may be changed during this period of time, one more issue is that how to address the configuration update of candidate cell.</w:t>
      </w:r>
    </w:p>
    <w:p>
      <w:r>
        <w:rPr>
          <w:rFonts w:hint="eastAsia"/>
        </w:rPr>
        <w:t>In order to save the size of RRC signaling, delta signaling shall be allowed for the configuration of potential candidate cells. For the case of configuration update for the potential candidate cells, there will be two understandings for the delta signaling:</w:t>
      </w:r>
    </w:p>
    <w:p>
      <w:pPr>
        <w:numPr>
          <w:ilvl w:val="0"/>
          <w:numId w:val="4"/>
        </w:numPr>
      </w:pPr>
      <w:r>
        <w:rPr>
          <w:rFonts w:hint="eastAsia"/>
        </w:rPr>
        <w:t>Alt1: The delta signaling can be the delta configuration to the previous configuration stored for the potential candidate cell.</w:t>
      </w:r>
    </w:p>
    <w:p>
      <w:pPr>
        <w:numPr>
          <w:ilvl w:val="0"/>
          <w:numId w:val="4"/>
        </w:numPr>
      </w:pPr>
      <w:r>
        <w:rPr>
          <w:rFonts w:hint="eastAsia"/>
        </w:rPr>
        <w:t>Alt2: The delta signaling shall always be the delta configuration to the current source cell.</w:t>
      </w:r>
    </w:p>
    <w:p>
      <w:r>
        <w:rPr>
          <w:rFonts w:hint="eastAsia"/>
        </w:rPr>
        <w:t>In the current specs, delta signaling always means delta configuration to the current source cell. To avoid ambiguity and complexity, we propose to stick to the current understanding that the delta configuration of a potential candidate cell should always be the delta configuration to the current source cell. Since the delta configuration refers to the current source cell, whenever the configuration of candidate cell is updated, the old configuration of candidate cell can be removed and a release/addition procedure shall be used to process the update of configuration for candidate cell stored on UE side.</w:t>
      </w:r>
    </w:p>
    <w:p>
      <w:pPr>
        <w:rPr>
          <w:b/>
          <w:bCs/>
        </w:rPr>
      </w:pPr>
      <w:r>
        <w:rPr>
          <w:rFonts w:hint="eastAsia"/>
          <w:b/>
          <w:bCs/>
        </w:rPr>
        <w:t xml:space="preserve">Proposal 4: </w:t>
      </w:r>
      <w:r>
        <w:rPr>
          <w:b/>
          <w:bCs/>
        </w:rPr>
        <w:t>The d</w:t>
      </w:r>
      <w:r>
        <w:rPr>
          <w:rFonts w:hint="eastAsia"/>
          <w:b/>
          <w:bCs/>
        </w:rPr>
        <w:t xml:space="preserve">elta configuration of the CHO candidate cells shall always be the delta configuration to </w:t>
      </w:r>
      <w:r>
        <w:rPr>
          <w:b/>
          <w:bCs/>
        </w:rPr>
        <w:t xml:space="preserve">the </w:t>
      </w:r>
      <w:r>
        <w:rPr>
          <w:rFonts w:hint="eastAsia"/>
          <w:b/>
          <w:bCs/>
        </w:rPr>
        <w:t>current serving cell (i.e. not the delta to the previous stored configuration for the candidate cells). And the release/addition procedure shall be used to update the configuration information for CHO candidate cells.</w:t>
      </w:r>
    </w:p>
    <w:p>
      <w:r>
        <w:rPr>
          <w:rFonts w:hint="eastAsia"/>
        </w:rPr>
        <w:t xml:space="preserve">Since the delta configuration of the CHO candidate cells shall always be the delta configuration </w:t>
      </w:r>
      <w:r>
        <w:t xml:space="preserve">to the </w:t>
      </w:r>
      <w:r>
        <w:rPr>
          <w:rFonts w:hint="eastAsia"/>
        </w:rPr>
        <w:t>source cell, in case the configuration of source cell is updated and there are stored configuration of the CHO candidate cells, how to address the stored configuration for CHO should be discussed as well, and the following two alternatives can be considered:</w:t>
      </w:r>
    </w:p>
    <w:p>
      <w:pPr>
        <w:numPr>
          <w:ilvl w:val="0"/>
          <w:numId w:val="4"/>
        </w:numPr>
      </w:pPr>
      <w:r>
        <w:rPr>
          <w:rFonts w:hint="eastAsia"/>
        </w:rPr>
        <w:t xml:space="preserve">Alt1: </w:t>
      </w:r>
      <w:r>
        <w:t xml:space="preserve">the </w:t>
      </w:r>
      <w:r>
        <w:rPr>
          <w:rFonts w:hint="eastAsia"/>
        </w:rPr>
        <w:t xml:space="preserve">UE should translate the configuration information for a candidate cell from </w:t>
      </w:r>
      <w:r>
        <w:t>“</w:t>
      </w:r>
      <w:r>
        <w:rPr>
          <w:rFonts w:hint="eastAsia"/>
        </w:rPr>
        <w:t>delta configuration</w:t>
      </w:r>
      <w:r>
        <w:t>”</w:t>
      </w:r>
      <w:r>
        <w:rPr>
          <w:rFonts w:hint="eastAsia"/>
        </w:rPr>
        <w:t xml:space="preserve"> to some kind of </w:t>
      </w:r>
      <w:r>
        <w:t>“</w:t>
      </w:r>
      <w:r>
        <w:rPr>
          <w:rFonts w:hint="eastAsia"/>
        </w:rPr>
        <w:t>full configuration</w:t>
      </w:r>
      <w:r>
        <w:t>”</w:t>
      </w:r>
      <w:r>
        <w:rPr>
          <w:rFonts w:hint="eastAsia"/>
        </w:rPr>
        <w:t xml:space="preserve"> once the configuration is received.</w:t>
      </w:r>
    </w:p>
    <w:p>
      <w:pPr>
        <w:numPr>
          <w:ilvl w:val="0"/>
          <w:numId w:val="5"/>
        </w:numPr>
        <w:ind w:left="840"/>
        <w:rPr>
          <w:b/>
          <w:bCs/>
        </w:rPr>
      </w:pPr>
      <w:r>
        <w:rPr>
          <w:rFonts w:hint="eastAsia"/>
        </w:rPr>
        <w:t xml:space="preserve">In this alternative, whenever configuration information for the candidate cells </w:t>
      </w:r>
      <w:r>
        <w:t>is</w:t>
      </w:r>
      <w:r>
        <w:rPr>
          <w:rFonts w:hint="eastAsia"/>
        </w:rPr>
        <w:t xml:space="preserve"> received, the UE shall translate the </w:t>
      </w:r>
      <w:r>
        <w:t>“</w:t>
      </w:r>
      <w:r>
        <w:rPr>
          <w:rFonts w:hint="eastAsia"/>
        </w:rPr>
        <w:t>delta configuration</w:t>
      </w:r>
      <w:r>
        <w:t>”</w:t>
      </w:r>
      <w:r>
        <w:rPr>
          <w:rFonts w:hint="eastAsia"/>
        </w:rPr>
        <w:t xml:space="preserve"> received to some kind of </w:t>
      </w:r>
      <w:r>
        <w:t>“</w:t>
      </w:r>
      <w:r>
        <w:rPr>
          <w:rFonts w:hint="eastAsia"/>
        </w:rPr>
        <w:t>full configuration</w:t>
      </w:r>
      <w:r>
        <w:t>”</w:t>
      </w:r>
      <w:r>
        <w:rPr>
          <w:rFonts w:hint="eastAsia"/>
        </w:rPr>
        <w:t xml:space="preserve"> according to the configuration of </w:t>
      </w:r>
      <w:r>
        <w:t xml:space="preserve">the </w:t>
      </w:r>
      <w:r>
        <w:rPr>
          <w:rFonts w:hint="eastAsia"/>
        </w:rPr>
        <w:t xml:space="preserve">current serving cell and store the </w:t>
      </w:r>
      <w:r>
        <w:t>“</w:t>
      </w:r>
      <w:r>
        <w:rPr>
          <w:rFonts w:hint="eastAsia"/>
        </w:rPr>
        <w:t>Full Configuration</w:t>
      </w:r>
      <w:r>
        <w:t>”</w:t>
      </w:r>
      <w:r>
        <w:rPr>
          <w:rFonts w:hint="eastAsia"/>
        </w:rPr>
        <w:t>. With this operation, the configuration stored for the candidate cells can be independent to the configuration of serving cells (i.e. the configuration stored for the candidate cells is not a delta configuration to the current serving cell any more). In this way, the stored configuration for the candidate cells needs not to be updated each time when the source configuration is updated, e.g. RAN triggered source reconfiguration.</w:t>
      </w:r>
    </w:p>
    <w:p>
      <w:pPr>
        <w:numPr>
          <w:ilvl w:val="0"/>
          <w:numId w:val="4"/>
        </w:numPr>
      </w:pPr>
      <w:r>
        <w:rPr>
          <w:rFonts w:hint="eastAsia"/>
        </w:rPr>
        <w:t xml:space="preserve">Alt2: </w:t>
      </w:r>
      <w:r>
        <w:t xml:space="preserve">the </w:t>
      </w:r>
      <w:r>
        <w:rPr>
          <w:rFonts w:hint="eastAsia"/>
        </w:rPr>
        <w:t xml:space="preserve">network should ensure the configuration of the candidate cells stored on </w:t>
      </w:r>
      <w:r>
        <w:t xml:space="preserve">the </w:t>
      </w:r>
      <w:r>
        <w:rPr>
          <w:rFonts w:hint="eastAsia"/>
        </w:rPr>
        <w:t>UE is correct by the release/addition of candidate cells.</w:t>
      </w:r>
    </w:p>
    <w:p>
      <w:pPr>
        <w:numPr>
          <w:ilvl w:val="0"/>
          <w:numId w:val="5"/>
        </w:numPr>
        <w:ind w:left="840"/>
      </w:pPr>
      <w:r>
        <w:rPr>
          <w:rFonts w:hint="eastAsia"/>
        </w:rPr>
        <w:t>In this alternative, whenever the source node wants to update the configuration of the current serving cell, the source node should release all the configuration of the CHO candidate cell first and then add it back later, in which case the newly added configuration of the CHO candidate cell can be delta configuration to the configuration of current serving cell.</w:t>
      </w:r>
    </w:p>
    <w:p>
      <w:r>
        <w:rPr>
          <w:rFonts w:hint="eastAsia"/>
        </w:rPr>
        <w:t xml:space="preserve">For the configuration update caused by CN (e.g. E-RAB release/addition), the configuration of CHO candidate cells need to be updated anyway. So, the alternative 1 can only be used for the reconfiguration triggered by RAN itself. In addition, although the alternative 1 may bring more flexibility on network side, it requires the support of translation between </w:t>
      </w:r>
      <w:r>
        <w:t>“</w:t>
      </w:r>
      <w:r>
        <w:rPr>
          <w:rFonts w:hint="eastAsia"/>
        </w:rPr>
        <w:t>delta configuration</w:t>
      </w:r>
      <w:r>
        <w:t>”</w:t>
      </w:r>
      <w:r>
        <w:rPr>
          <w:rFonts w:hint="eastAsia"/>
        </w:rPr>
        <w:t xml:space="preserve"> and </w:t>
      </w:r>
      <w:r>
        <w:t>“</w:t>
      </w:r>
      <w:r>
        <w:rPr>
          <w:rFonts w:hint="eastAsia"/>
        </w:rPr>
        <w:t>full configuration</w:t>
      </w:r>
      <w:r>
        <w:t>”</w:t>
      </w:r>
      <w:r>
        <w:rPr>
          <w:rFonts w:hint="eastAsia"/>
        </w:rPr>
        <w:t xml:space="preserve">, which may lead to more complexity on </w:t>
      </w:r>
      <w:r>
        <w:t xml:space="preserve">the </w:t>
      </w:r>
      <w:r>
        <w:rPr>
          <w:rFonts w:hint="eastAsia"/>
        </w:rPr>
        <w:t xml:space="preserve">UE side. </w:t>
      </w:r>
      <w:r>
        <w:t>Also c</w:t>
      </w:r>
      <w:r>
        <w:rPr>
          <w:rFonts w:hint="eastAsia"/>
        </w:rPr>
        <w:t xml:space="preserve">onsidering </w:t>
      </w:r>
      <w:r>
        <w:t xml:space="preserve">that </w:t>
      </w:r>
      <w:r>
        <w:rPr>
          <w:rFonts w:hint="eastAsia"/>
        </w:rPr>
        <w:t>the time period between the CHO preparation phase and the CHO execution phase is quite short and the RAN triggered reconfiguration can be avoided by network implementation</w:t>
      </w:r>
      <w:r>
        <w:t xml:space="preserve">, </w:t>
      </w:r>
      <w:r>
        <w:rPr>
          <w:rFonts w:hint="eastAsia"/>
        </w:rPr>
        <w:t>in order to reduce the complexity, we propose to take alternative 2 as baseline.</w:t>
      </w:r>
    </w:p>
    <w:p>
      <w:pPr>
        <w:rPr>
          <w:b/>
          <w:bCs/>
        </w:rPr>
      </w:pPr>
      <w:r>
        <w:rPr>
          <w:rFonts w:hint="eastAsia"/>
          <w:b/>
          <w:bCs/>
        </w:rPr>
        <w:t xml:space="preserve">Proposal 5: Whenever the source node wants to update the configuration of </w:t>
      </w:r>
      <w:r>
        <w:rPr>
          <w:b/>
          <w:bCs/>
        </w:rPr>
        <w:t xml:space="preserve">the </w:t>
      </w:r>
      <w:r>
        <w:rPr>
          <w:rFonts w:hint="eastAsia"/>
          <w:b/>
          <w:bCs/>
        </w:rPr>
        <w:t xml:space="preserve">current serving cell, the source node should release all the stored configuration of the CHO candidate cell first and then add it back later.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share some views on the configuration of CHO candidates with the following observations and proposals:</w:t>
      </w:r>
    </w:p>
    <w:p>
      <w:pPr>
        <w:rPr>
          <w:b/>
          <w:bCs/>
        </w:rPr>
      </w:pPr>
      <w:r>
        <w:rPr>
          <w:rFonts w:hint="eastAsia"/>
          <w:b/>
          <w:bCs/>
        </w:rPr>
        <w:t xml:space="preserve">Observation 1: It should be allowed that multiple candidate cells from the same or different eNBs can be included in a single </w:t>
      </w:r>
      <w:r>
        <w:rPr>
          <w:b/>
          <w:bCs/>
        </w:rPr>
        <w:t>Conditional</w:t>
      </w:r>
      <w:r>
        <w:rPr>
          <w:rFonts w:hint="eastAsia"/>
          <w:b/>
          <w:bCs/>
        </w:rPr>
        <w:t xml:space="preserve"> HO command type of message.</w:t>
      </w:r>
    </w:p>
    <w:p>
      <w:pPr>
        <w:rPr>
          <w:b/>
          <w:bCs/>
        </w:rPr>
      </w:pPr>
      <w:r>
        <w:rPr>
          <w:rFonts w:hint="eastAsia"/>
          <w:b/>
          <w:bCs/>
        </w:rPr>
        <w:t>Observation 2: After issuing the Conditional HO command type of message to the UE, the source cell should be able to receive the response message from the UE.</w:t>
      </w:r>
    </w:p>
    <w:p>
      <w:r>
        <w:rPr>
          <w:rFonts w:hint="eastAsia"/>
          <w:b/>
          <w:bCs/>
        </w:rPr>
        <w:t>Proposal 1: The Conditional HO command type of message is generated by the source cell.</w:t>
      </w:r>
    </w:p>
    <w:p>
      <w:pPr>
        <w:rPr>
          <w:b/>
          <w:bCs/>
        </w:rPr>
      </w:pPr>
      <w:r>
        <w:rPr>
          <w:rFonts w:hint="eastAsia"/>
          <w:b/>
          <w:bCs/>
        </w:rPr>
        <w:t>Proposal 2: The RRC configuration of a candidate cell is generated and encapsulated into a RRC container by the target cell. Then the RRC container is incorporated into the Conditional HO command type of message by the source cell transparently.</w:t>
      </w:r>
    </w:p>
    <w:p>
      <w:pPr>
        <w:rPr>
          <w:b/>
          <w:bCs/>
        </w:rPr>
      </w:pPr>
      <w:r>
        <w:rPr>
          <w:rFonts w:hint="eastAsia"/>
          <w:b/>
          <w:bCs/>
        </w:rPr>
        <w:t>Proposal 3: Configuration of CFRA resources for a candidate cell shall be allowed in CHO. Whether to provide CFRA resources is up to network</w:t>
      </w:r>
      <w:r>
        <w:rPr>
          <w:b/>
          <w:bCs/>
        </w:rPr>
        <w:t>’</w:t>
      </w:r>
      <w:r>
        <w:rPr>
          <w:rFonts w:hint="eastAsia"/>
          <w:b/>
          <w:bCs/>
        </w:rPr>
        <w:t>s implementation and no optimization is needed to improve the resource efficiency for the configuration of CFRA in CHO.</w:t>
      </w:r>
    </w:p>
    <w:p>
      <w:pPr>
        <w:rPr>
          <w:b/>
          <w:bCs/>
        </w:rPr>
      </w:pPr>
      <w:r>
        <w:rPr>
          <w:rFonts w:hint="eastAsia"/>
          <w:b/>
          <w:bCs/>
        </w:rPr>
        <w:t xml:space="preserve">Proposal 4: </w:t>
      </w:r>
      <w:r>
        <w:rPr>
          <w:b/>
          <w:bCs/>
        </w:rPr>
        <w:t>The d</w:t>
      </w:r>
      <w:r>
        <w:rPr>
          <w:rFonts w:hint="eastAsia"/>
          <w:b/>
          <w:bCs/>
        </w:rPr>
        <w:t xml:space="preserve">elta configuration of the CHO candidate cells shall always be the delta configuration to </w:t>
      </w:r>
      <w:r>
        <w:rPr>
          <w:b/>
          <w:bCs/>
        </w:rPr>
        <w:t xml:space="preserve">the </w:t>
      </w:r>
      <w:r>
        <w:rPr>
          <w:rFonts w:hint="eastAsia"/>
          <w:b/>
          <w:bCs/>
        </w:rPr>
        <w:t>current serving cell (i.e. not the delta to the previous stored configuration for the candidate cells). And the release/addition procedure shall be used to update the configuration information for CHO candidate cells.</w:t>
      </w:r>
    </w:p>
    <w:p>
      <w:pPr>
        <w:rPr>
          <w:b/>
          <w:bCs/>
          <w:lang w:val="en-GB"/>
        </w:rPr>
      </w:pPr>
      <w:r>
        <w:rPr>
          <w:rFonts w:hint="eastAsia"/>
          <w:b/>
          <w:bCs/>
        </w:rPr>
        <w:t xml:space="preserve">Proposal 5: Whenever the source node wants to update the configuration of </w:t>
      </w:r>
      <w:r>
        <w:rPr>
          <w:b/>
          <w:bCs/>
        </w:rPr>
        <w:t xml:space="preserve">the </w:t>
      </w:r>
      <w:r>
        <w:rPr>
          <w:rFonts w:hint="eastAsia"/>
          <w:b/>
          <w:bCs/>
        </w:rPr>
        <w:t xml:space="preserve">current serving cell, the source node should release all the stored configuration of the CHO candidate cell first and then add it back later. </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303E64"/>
    <w:multiLevelType w:val="multilevel"/>
    <w:tmpl w:val="95303E64"/>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1C9DA67"/>
    <w:multiLevelType w:val="singleLevel"/>
    <w:tmpl w:val="11C9DA67"/>
    <w:lvl w:ilvl="0" w:tentative="0">
      <w:start w:val="1"/>
      <w:numFmt w:val="bullet"/>
      <w:lvlText w:val=""/>
      <w:lvlJc w:val="left"/>
      <w:pPr>
        <w:ind w:left="420" w:hanging="420"/>
      </w:pPr>
      <w:rPr>
        <w:rFonts w:hint="default" w:ascii="Wingdings" w:hAnsi="Wingdings"/>
      </w:r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trackRevisions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1077"/>
    <w:rsid w:val="00322EDB"/>
    <w:rsid w:val="0032622A"/>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4F60A1"/>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3742"/>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49FD"/>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4AC2"/>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1CEF"/>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E09E7"/>
    <w:rsid w:val="00FE2161"/>
    <w:rsid w:val="00FE58B6"/>
    <w:rsid w:val="00FE7430"/>
    <w:rsid w:val="00FF0471"/>
    <w:rsid w:val="00FF0AAD"/>
    <w:rsid w:val="00FF29CE"/>
    <w:rsid w:val="00FF2E7C"/>
    <w:rsid w:val="00FF2EAF"/>
    <w:rsid w:val="00FF33F4"/>
    <w:rsid w:val="01131166"/>
    <w:rsid w:val="016210DF"/>
    <w:rsid w:val="016E3B27"/>
    <w:rsid w:val="01767489"/>
    <w:rsid w:val="0185508D"/>
    <w:rsid w:val="01910DD3"/>
    <w:rsid w:val="01920B2D"/>
    <w:rsid w:val="01943782"/>
    <w:rsid w:val="01977F6A"/>
    <w:rsid w:val="01A5265A"/>
    <w:rsid w:val="01AC40BD"/>
    <w:rsid w:val="01AE3B73"/>
    <w:rsid w:val="01B13560"/>
    <w:rsid w:val="01BE26E7"/>
    <w:rsid w:val="01C05D49"/>
    <w:rsid w:val="01C66A3F"/>
    <w:rsid w:val="02017286"/>
    <w:rsid w:val="0212463B"/>
    <w:rsid w:val="02142423"/>
    <w:rsid w:val="022D295E"/>
    <w:rsid w:val="024A4AC8"/>
    <w:rsid w:val="02657A19"/>
    <w:rsid w:val="02664651"/>
    <w:rsid w:val="02737CFE"/>
    <w:rsid w:val="02825D7D"/>
    <w:rsid w:val="028A67A0"/>
    <w:rsid w:val="028B3E82"/>
    <w:rsid w:val="0293518F"/>
    <w:rsid w:val="0297259A"/>
    <w:rsid w:val="029C0A9A"/>
    <w:rsid w:val="02BA02BA"/>
    <w:rsid w:val="02C62E55"/>
    <w:rsid w:val="02E712F2"/>
    <w:rsid w:val="02E968F1"/>
    <w:rsid w:val="03202434"/>
    <w:rsid w:val="0347521D"/>
    <w:rsid w:val="035B5483"/>
    <w:rsid w:val="036C3B3B"/>
    <w:rsid w:val="037175E3"/>
    <w:rsid w:val="03857386"/>
    <w:rsid w:val="03892EFE"/>
    <w:rsid w:val="039A2405"/>
    <w:rsid w:val="03BD31AF"/>
    <w:rsid w:val="03BE00C0"/>
    <w:rsid w:val="03D52450"/>
    <w:rsid w:val="03E9137F"/>
    <w:rsid w:val="03EC1D7B"/>
    <w:rsid w:val="03F148CD"/>
    <w:rsid w:val="03FE0DFE"/>
    <w:rsid w:val="04067142"/>
    <w:rsid w:val="041C2081"/>
    <w:rsid w:val="043E7F06"/>
    <w:rsid w:val="04456CA0"/>
    <w:rsid w:val="0451320B"/>
    <w:rsid w:val="045763FA"/>
    <w:rsid w:val="04754B65"/>
    <w:rsid w:val="048A123B"/>
    <w:rsid w:val="04996B65"/>
    <w:rsid w:val="04EB5671"/>
    <w:rsid w:val="04ED36E0"/>
    <w:rsid w:val="04FB5FD2"/>
    <w:rsid w:val="050C31AF"/>
    <w:rsid w:val="05174168"/>
    <w:rsid w:val="051E36E6"/>
    <w:rsid w:val="05332C41"/>
    <w:rsid w:val="054C7D3F"/>
    <w:rsid w:val="054D4214"/>
    <w:rsid w:val="05526E77"/>
    <w:rsid w:val="056D39BD"/>
    <w:rsid w:val="058267E3"/>
    <w:rsid w:val="058442CB"/>
    <w:rsid w:val="05B21BDC"/>
    <w:rsid w:val="05D1713F"/>
    <w:rsid w:val="05E024B6"/>
    <w:rsid w:val="05F13BE9"/>
    <w:rsid w:val="05F178AC"/>
    <w:rsid w:val="06022874"/>
    <w:rsid w:val="060A555D"/>
    <w:rsid w:val="06136726"/>
    <w:rsid w:val="06406186"/>
    <w:rsid w:val="06577E85"/>
    <w:rsid w:val="066F0DC7"/>
    <w:rsid w:val="067F0396"/>
    <w:rsid w:val="069621D1"/>
    <w:rsid w:val="06AF5E97"/>
    <w:rsid w:val="06BB3C62"/>
    <w:rsid w:val="06D97CA7"/>
    <w:rsid w:val="06EE5F3A"/>
    <w:rsid w:val="06F90F74"/>
    <w:rsid w:val="06FC5420"/>
    <w:rsid w:val="06FE56CC"/>
    <w:rsid w:val="07056544"/>
    <w:rsid w:val="0706413A"/>
    <w:rsid w:val="071E610B"/>
    <w:rsid w:val="07387A0E"/>
    <w:rsid w:val="07505A8A"/>
    <w:rsid w:val="075926F1"/>
    <w:rsid w:val="07625AB8"/>
    <w:rsid w:val="078158EA"/>
    <w:rsid w:val="07843668"/>
    <w:rsid w:val="079368A6"/>
    <w:rsid w:val="07B47F2F"/>
    <w:rsid w:val="07BE2890"/>
    <w:rsid w:val="07C4242C"/>
    <w:rsid w:val="07C84D70"/>
    <w:rsid w:val="07E121C2"/>
    <w:rsid w:val="07F50292"/>
    <w:rsid w:val="083E7D1C"/>
    <w:rsid w:val="083F69AD"/>
    <w:rsid w:val="08555405"/>
    <w:rsid w:val="08561FA2"/>
    <w:rsid w:val="08590F51"/>
    <w:rsid w:val="086334CF"/>
    <w:rsid w:val="08690BF0"/>
    <w:rsid w:val="0877760D"/>
    <w:rsid w:val="08896E68"/>
    <w:rsid w:val="089E1AEE"/>
    <w:rsid w:val="08A1177C"/>
    <w:rsid w:val="08B02DDD"/>
    <w:rsid w:val="08BB6EAC"/>
    <w:rsid w:val="08CA2035"/>
    <w:rsid w:val="08E33A5D"/>
    <w:rsid w:val="08EA1C68"/>
    <w:rsid w:val="08F22BC2"/>
    <w:rsid w:val="08F54145"/>
    <w:rsid w:val="08FC7AC7"/>
    <w:rsid w:val="09065647"/>
    <w:rsid w:val="090968DC"/>
    <w:rsid w:val="0915066C"/>
    <w:rsid w:val="09330B6E"/>
    <w:rsid w:val="093E5899"/>
    <w:rsid w:val="094311F4"/>
    <w:rsid w:val="094F257F"/>
    <w:rsid w:val="096D227C"/>
    <w:rsid w:val="0980678C"/>
    <w:rsid w:val="098246C4"/>
    <w:rsid w:val="09A955D3"/>
    <w:rsid w:val="09B81315"/>
    <w:rsid w:val="09C068A5"/>
    <w:rsid w:val="09C1228B"/>
    <w:rsid w:val="09CA0AC6"/>
    <w:rsid w:val="09D50EC2"/>
    <w:rsid w:val="09F546E9"/>
    <w:rsid w:val="09F7192D"/>
    <w:rsid w:val="09FD4DBD"/>
    <w:rsid w:val="0A090AAC"/>
    <w:rsid w:val="0A2E5DB1"/>
    <w:rsid w:val="0A2F46DB"/>
    <w:rsid w:val="0A337541"/>
    <w:rsid w:val="0A386426"/>
    <w:rsid w:val="0A4E1BB6"/>
    <w:rsid w:val="0A5C2E75"/>
    <w:rsid w:val="0A6614C9"/>
    <w:rsid w:val="0A664AD3"/>
    <w:rsid w:val="0A97216E"/>
    <w:rsid w:val="0A9C11D4"/>
    <w:rsid w:val="0AA5549A"/>
    <w:rsid w:val="0AAE3C34"/>
    <w:rsid w:val="0AB57D41"/>
    <w:rsid w:val="0ABF5314"/>
    <w:rsid w:val="0AF957A7"/>
    <w:rsid w:val="0B104C80"/>
    <w:rsid w:val="0B1537E9"/>
    <w:rsid w:val="0B1B0258"/>
    <w:rsid w:val="0B2F5449"/>
    <w:rsid w:val="0B3A6177"/>
    <w:rsid w:val="0B542366"/>
    <w:rsid w:val="0B5841D8"/>
    <w:rsid w:val="0B625907"/>
    <w:rsid w:val="0B6D671D"/>
    <w:rsid w:val="0B800594"/>
    <w:rsid w:val="0B833CB9"/>
    <w:rsid w:val="0B8459A2"/>
    <w:rsid w:val="0BB77542"/>
    <w:rsid w:val="0BC1136C"/>
    <w:rsid w:val="0BC87CC9"/>
    <w:rsid w:val="0BD9718B"/>
    <w:rsid w:val="0BEB698D"/>
    <w:rsid w:val="0BF4523A"/>
    <w:rsid w:val="0C022CD6"/>
    <w:rsid w:val="0C21687B"/>
    <w:rsid w:val="0C221921"/>
    <w:rsid w:val="0C2B7B6C"/>
    <w:rsid w:val="0C35257F"/>
    <w:rsid w:val="0C5C4277"/>
    <w:rsid w:val="0C70637B"/>
    <w:rsid w:val="0C710975"/>
    <w:rsid w:val="0C7A6655"/>
    <w:rsid w:val="0CB5613D"/>
    <w:rsid w:val="0CCE60AE"/>
    <w:rsid w:val="0CE2368A"/>
    <w:rsid w:val="0CE55396"/>
    <w:rsid w:val="0CF31DF7"/>
    <w:rsid w:val="0D2C3BFA"/>
    <w:rsid w:val="0D4618D1"/>
    <w:rsid w:val="0D5412D9"/>
    <w:rsid w:val="0D563E1D"/>
    <w:rsid w:val="0D5D28E6"/>
    <w:rsid w:val="0D6D666D"/>
    <w:rsid w:val="0D7545AF"/>
    <w:rsid w:val="0D823563"/>
    <w:rsid w:val="0D8C2318"/>
    <w:rsid w:val="0D916371"/>
    <w:rsid w:val="0D9F62EE"/>
    <w:rsid w:val="0DB83232"/>
    <w:rsid w:val="0DBC5333"/>
    <w:rsid w:val="0DBE49F8"/>
    <w:rsid w:val="0DBF18EC"/>
    <w:rsid w:val="0DC96810"/>
    <w:rsid w:val="0DD11D57"/>
    <w:rsid w:val="0DE7427C"/>
    <w:rsid w:val="0DED07C4"/>
    <w:rsid w:val="0DFE5905"/>
    <w:rsid w:val="0E022856"/>
    <w:rsid w:val="0E0B52D7"/>
    <w:rsid w:val="0E104D98"/>
    <w:rsid w:val="0E1369CD"/>
    <w:rsid w:val="0E28192B"/>
    <w:rsid w:val="0E2F597F"/>
    <w:rsid w:val="0E37108C"/>
    <w:rsid w:val="0E4D26CC"/>
    <w:rsid w:val="0E560EFD"/>
    <w:rsid w:val="0E6A01E6"/>
    <w:rsid w:val="0E8C09CF"/>
    <w:rsid w:val="0E8D03D6"/>
    <w:rsid w:val="0E930DC4"/>
    <w:rsid w:val="0EC509E4"/>
    <w:rsid w:val="0ED4677A"/>
    <w:rsid w:val="0ED64E1A"/>
    <w:rsid w:val="0EDC06F9"/>
    <w:rsid w:val="0EE1071D"/>
    <w:rsid w:val="0EF05D44"/>
    <w:rsid w:val="0EFF4DCA"/>
    <w:rsid w:val="0F0869CE"/>
    <w:rsid w:val="0F0F0B31"/>
    <w:rsid w:val="0F13714E"/>
    <w:rsid w:val="0F1B123C"/>
    <w:rsid w:val="0F217358"/>
    <w:rsid w:val="0F2532AC"/>
    <w:rsid w:val="0F3D7225"/>
    <w:rsid w:val="0F424B0D"/>
    <w:rsid w:val="0F4A1CDE"/>
    <w:rsid w:val="0F4A7E65"/>
    <w:rsid w:val="0F557405"/>
    <w:rsid w:val="0F5626C1"/>
    <w:rsid w:val="0F63349B"/>
    <w:rsid w:val="0F634273"/>
    <w:rsid w:val="0F790B07"/>
    <w:rsid w:val="0F7F7301"/>
    <w:rsid w:val="0F847A92"/>
    <w:rsid w:val="0F99304D"/>
    <w:rsid w:val="0FBF7F6A"/>
    <w:rsid w:val="0FDD3ABD"/>
    <w:rsid w:val="0FDD41C9"/>
    <w:rsid w:val="10144ACE"/>
    <w:rsid w:val="10192E34"/>
    <w:rsid w:val="10220ACB"/>
    <w:rsid w:val="103E1201"/>
    <w:rsid w:val="104177FA"/>
    <w:rsid w:val="105553B4"/>
    <w:rsid w:val="105F2701"/>
    <w:rsid w:val="10633DE5"/>
    <w:rsid w:val="106C51AC"/>
    <w:rsid w:val="10870262"/>
    <w:rsid w:val="109C7E53"/>
    <w:rsid w:val="109D01C9"/>
    <w:rsid w:val="109E5C77"/>
    <w:rsid w:val="10A15BAF"/>
    <w:rsid w:val="10A54549"/>
    <w:rsid w:val="10AD1F54"/>
    <w:rsid w:val="10B20497"/>
    <w:rsid w:val="10B2230B"/>
    <w:rsid w:val="10BA6965"/>
    <w:rsid w:val="10D80BBB"/>
    <w:rsid w:val="10DC7FF8"/>
    <w:rsid w:val="110651DD"/>
    <w:rsid w:val="11186F4B"/>
    <w:rsid w:val="112A395D"/>
    <w:rsid w:val="114E07E1"/>
    <w:rsid w:val="116C5EAE"/>
    <w:rsid w:val="118D68C4"/>
    <w:rsid w:val="11941E54"/>
    <w:rsid w:val="11953B1A"/>
    <w:rsid w:val="11965A2F"/>
    <w:rsid w:val="11A52536"/>
    <w:rsid w:val="11CF6BAC"/>
    <w:rsid w:val="11DB1A57"/>
    <w:rsid w:val="11F33AF7"/>
    <w:rsid w:val="121264F9"/>
    <w:rsid w:val="12164442"/>
    <w:rsid w:val="121E625C"/>
    <w:rsid w:val="12205607"/>
    <w:rsid w:val="12214918"/>
    <w:rsid w:val="122350B5"/>
    <w:rsid w:val="1281311E"/>
    <w:rsid w:val="129137BD"/>
    <w:rsid w:val="12AB4AA1"/>
    <w:rsid w:val="12EF741A"/>
    <w:rsid w:val="12F254D0"/>
    <w:rsid w:val="12FE42D6"/>
    <w:rsid w:val="131C3CE3"/>
    <w:rsid w:val="13611100"/>
    <w:rsid w:val="136345D4"/>
    <w:rsid w:val="1365208E"/>
    <w:rsid w:val="136C1339"/>
    <w:rsid w:val="137C093B"/>
    <w:rsid w:val="137C409F"/>
    <w:rsid w:val="1396509F"/>
    <w:rsid w:val="139D0995"/>
    <w:rsid w:val="13AE3872"/>
    <w:rsid w:val="13B567C3"/>
    <w:rsid w:val="13D94098"/>
    <w:rsid w:val="13DD35D9"/>
    <w:rsid w:val="13ED1CD8"/>
    <w:rsid w:val="13F54FCF"/>
    <w:rsid w:val="13FF2E83"/>
    <w:rsid w:val="140300D1"/>
    <w:rsid w:val="141C2EE7"/>
    <w:rsid w:val="142C38AD"/>
    <w:rsid w:val="143678DB"/>
    <w:rsid w:val="14506187"/>
    <w:rsid w:val="145449A3"/>
    <w:rsid w:val="1474522A"/>
    <w:rsid w:val="14AD5F48"/>
    <w:rsid w:val="14AE35FC"/>
    <w:rsid w:val="14D601A3"/>
    <w:rsid w:val="14E44113"/>
    <w:rsid w:val="14EA55B7"/>
    <w:rsid w:val="150E4907"/>
    <w:rsid w:val="153D235D"/>
    <w:rsid w:val="154821B7"/>
    <w:rsid w:val="154A1648"/>
    <w:rsid w:val="155810A4"/>
    <w:rsid w:val="155C65AE"/>
    <w:rsid w:val="156A61CE"/>
    <w:rsid w:val="156F3E1F"/>
    <w:rsid w:val="156F44D4"/>
    <w:rsid w:val="15715B51"/>
    <w:rsid w:val="15823994"/>
    <w:rsid w:val="15947046"/>
    <w:rsid w:val="15951987"/>
    <w:rsid w:val="15B72752"/>
    <w:rsid w:val="15BA166F"/>
    <w:rsid w:val="15C72685"/>
    <w:rsid w:val="15C828CD"/>
    <w:rsid w:val="15CB3F81"/>
    <w:rsid w:val="15F4371E"/>
    <w:rsid w:val="160F2C35"/>
    <w:rsid w:val="16203964"/>
    <w:rsid w:val="16314D23"/>
    <w:rsid w:val="16545026"/>
    <w:rsid w:val="16620331"/>
    <w:rsid w:val="16657E45"/>
    <w:rsid w:val="16704C85"/>
    <w:rsid w:val="16744071"/>
    <w:rsid w:val="167C5BDC"/>
    <w:rsid w:val="1680645E"/>
    <w:rsid w:val="168821FC"/>
    <w:rsid w:val="169612D1"/>
    <w:rsid w:val="16A137C5"/>
    <w:rsid w:val="16A21F5B"/>
    <w:rsid w:val="16BE1D19"/>
    <w:rsid w:val="16DF2B07"/>
    <w:rsid w:val="16E7282C"/>
    <w:rsid w:val="16FE3110"/>
    <w:rsid w:val="17026F10"/>
    <w:rsid w:val="17275E00"/>
    <w:rsid w:val="17380DC9"/>
    <w:rsid w:val="17432E41"/>
    <w:rsid w:val="174B3A7D"/>
    <w:rsid w:val="175454DC"/>
    <w:rsid w:val="17636FAF"/>
    <w:rsid w:val="177761B3"/>
    <w:rsid w:val="178D2C84"/>
    <w:rsid w:val="178D7F71"/>
    <w:rsid w:val="179E7495"/>
    <w:rsid w:val="17A026E1"/>
    <w:rsid w:val="17AB2B97"/>
    <w:rsid w:val="17CE580D"/>
    <w:rsid w:val="17FF4999"/>
    <w:rsid w:val="18170776"/>
    <w:rsid w:val="182B4F94"/>
    <w:rsid w:val="18641C3D"/>
    <w:rsid w:val="1867487B"/>
    <w:rsid w:val="18695C89"/>
    <w:rsid w:val="18764199"/>
    <w:rsid w:val="18786E06"/>
    <w:rsid w:val="188726D4"/>
    <w:rsid w:val="189C51CA"/>
    <w:rsid w:val="18A459CA"/>
    <w:rsid w:val="18A66233"/>
    <w:rsid w:val="18B22B5C"/>
    <w:rsid w:val="18B32649"/>
    <w:rsid w:val="18B84CB0"/>
    <w:rsid w:val="18C605BC"/>
    <w:rsid w:val="18DE1AEB"/>
    <w:rsid w:val="18F56338"/>
    <w:rsid w:val="18FC34F8"/>
    <w:rsid w:val="19090872"/>
    <w:rsid w:val="190C0ABD"/>
    <w:rsid w:val="19200A35"/>
    <w:rsid w:val="192141D8"/>
    <w:rsid w:val="19352F90"/>
    <w:rsid w:val="194452C6"/>
    <w:rsid w:val="19447EB2"/>
    <w:rsid w:val="19471E13"/>
    <w:rsid w:val="194E56C4"/>
    <w:rsid w:val="19684F1E"/>
    <w:rsid w:val="19B56E5D"/>
    <w:rsid w:val="19BD310F"/>
    <w:rsid w:val="19CB397F"/>
    <w:rsid w:val="19D74D72"/>
    <w:rsid w:val="19EA15B3"/>
    <w:rsid w:val="19F5126C"/>
    <w:rsid w:val="19FA1601"/>
    <w:rsid w:val="19FC4936"/>
    <w:rsid w:val="1A4F26CC"/>
    <w:rsid w:val="1A7C32FF"/>
    <w:rsid w:val="1A80010B"/>
    <w:rsid w:val="1A91794A"/>
    <w:rsid w:val="1A9E713F"/>
    <w:rsid w:val="1AA1145C"/>
    <w:rsid w:val="1AAD30FA"/>
    <w:rsid w:val="1AB13940"/>
    <w:rsid w:val="1ABA705B"/>
    <w:rsid w:val="1AC97242"/>
    <w:rsid w:val="1ACF27B9"/>
    <w:rsid w:val="1AD27A8D"/>
    <w:rsid w:val="1AD41D2D"/>
    <w:rsid w:val="1AD7515E"/>
    <w:rsid w:val="1AE93C9B"/>
    <w:rsid w:val="1AF21DA7"/>
    <w:rsid w:val="1B47772F"/>
    <w:rsid w:val="1B50538E"/>
    <w:rsid w:val="1B5322E9"/>
    <w:rsid w:val="1B607248"/>
    <w:rsid w:val="1B693EA3"/>
    <w:rsid w:val="1B6B1131"/>
    <w:rsid w:val="1B6C25E8"/>
    <w:rsid w:val="1B741476"/>
    <w:rsid w:val="1B793426"/>
    <w:rsid w:val="1B801536"/>
    <w:rsid w:val="1B8A2061"/>
    <w:rsid w:val="1BAA2BCF"/>
    <w:rsid w:val="1BD925D2"/>
    <w:rsid w:val="1BFA0C60"/>
    <w:rsid w:val="1C076C7C"/>
    <w:rsid w:val="1C161A83"/>
    <w:rsid w:val="1C1C4D13"/>
    <w:rsid w:val="1C296C3D"/>
    <w:rsid w:val="1C512779"/>
    <w:rsid w:val="1C6575F7"/>
    <w:rsid w:val="1C762823"/>
    <w:rsid w:val="1C7802BE"/>
    <w:rsid w:val="1C804FFC"/>
    <w:rsid w:val="1C811EBE"/>
    <w:rsid w:val="1C8D3996"/>
    <w:rsid w:val="1C9C1BE4"/>
    <w:rsid w:val="1CAF18A4"/>
    <w:rsid w:val="1CBA342B"/>
    <w:rsid w:val="1CC04946"/>
    <w:rsid w:val="1CC400CD"/>
    <w:rsid w:val="1CCA7433"/>
    <w:rsid w:val="1CCE78A2"/>
    <w:rsid w:val="1CDC087A"/>
    <w:rsid w:val="1CFB474C"/>
    <w:rsid w:val="1D110690"/>
    <w:rsid w:val="1D2C43C8"/>
    <w:rsid w:val="1D335855"/>
    <w:rsid w:val="1D3507AD"/>
    <w:rsid w:val="1D6747F5"/>
    <w:rsid w:val="1D7B7BDF"/>
    <w:rsid w:val="1D812F92"/>
    <w:rsid w:val="1D850034"/>
    <w:rsid w:val="1D8B6EC0"/>
    <w:rsid w:val="1DA70EBB"/>
    <w:rsid w:val="1DC43BC4"/>
    <w:rsid w:val="1DCC34E5"/>
    <w:rsid w:val="1DDE47B5"/>
    <w:rsid w:val="1DFD5D66"/>
    <w:rsid w:val="1E1C0F23"/>
    <w:rsid w:val="1E1D3350"/>
    <w:rsid w:val="1E2D3856"/>
    <w:rsid w:val="1E2E6394"/>
    <w:rsid w:val="1E4C7C99"/>
    <w:rsid w:val="1E721FE6"/>
    <w:rsid w:val="1E842EE0"/>
    <w:rsid w:val="1EA5131C"/>
    <w:rsid w:val="1EAC0652"/>
    <w:rsid w:val="1EC012AB"/>
    <w:rsid w:val="1EC97015"/>
    <w:rsid w:val="1ED25FFE"/>
    <w:rsid w:val="1EE16ED9"/>
    <w:rsid w:val="1F1E5DB2"/>
    <w:rsid w:val="1F2D7AB7"/>
    <w:rsid w:val="1F3C203A"/>
    <w:rsid w:val="1F4154A3"/>
    <w:rsid w:val="1F495793"/>
    <w:rsid w:val="1F4F31D2"/>
    <w:rsid w:val="1FA042BC"/>
    <w:rsid w:val="1FDE1119"/>
    <w:rsid w:val="1FDE5CF0"/>
    <w:rsid w:val="1FF63782"/>
    <w:rsid w:val="20055D8E"/>
    <w:rsid w:val="2010595F"/>
    <w:rsid w:val="204A3E68"/>
    <w:rsid w:val="204E2B4B"/>
    <w:rsid w:val="204F627F"/>
    <w:rsid w:val="20577738"/>
    <w:rsid w:val="205B6F25"/>
    <w:rsid w:val="206E2E6F"/>
    <w:rsid w:val="20867893"/>
    <w:rsid w:val="209F40C4"/>
    <w:rsid w:val="20A523F4"/>
    <w:rsid w:val="20C12912"/>
    <w:rsid w:val="20D95613"/>
    <w:rsid w:val="20DB6833"/>
    <w:rsid w:val="20FA1C1F"/>
    <w:rsid w:val="20FC1399"/>
    <w:rsid w:val="21090BEB"/>
    <w:rsid w:val="2112563D"/>
    <w:rsid w:val="21133D9A"/>
    <w:rsid w:val="212D6E70"/>
    <w:rsid w:val="21325170"/>
    <w:rsid w:val="213C4E2F"/>
    <w:rsid w:val="213D0E8C"/>
    <w:rsid w:val="2140662B"/>
    <w:rsid w:val="215A2AFE"/>
    <w:rsid w:val="217228C9"/>
    <w:rsid w:val="21926F6C"/>
    <w:rsid w:val="21936236"/>
    <w:rsid w:val="21A71340"/>
    <w:rsid w:val="21B13AA1"/>
    <w:rsid w:val="21B24080"/>
    <w:rsid w:val="21D061B3"/>
    <w:rsid w:val="21D24CF4"/>
    <w:rsid w:val="21FA7C76"/>
    <w:rsid w:val="21FB378E"/>
    <w:rsid w:val="221122B7"/>
    <w:rsid w:val="221335D5"/>
    <w:rsid w:val="223F2906"/>
    <w:rsid w:val="22460F19"/>
    <w:rsid w:val="226F2366"/>
    <w:rsid w:val="227167CA"/>
    <w:rsid w:val="22805B8B"/>
    <w:rsid w:val="228135D1"/>
    <w:rsid w:val="2281465F"/>
    <w:rsid w:val="22A13519"/>
    <w:rsid w:val="22C54E5E"/>
    <w:rsid w:val="22CD57C2"/>
    <w:rsid w:val="22F94667"/>
    <w:rsid w:val="22FC1280"/>
    <w:rsid w:val="23001A71"/>
    <w:rsid w:val="23050ED0"/>
    <w:rsid w:val="23057C2E"/>
    <w:rsid w:val="230A06F1"/>
    <w:rsid w:val="231405B8"/>
    <w:rsid w:val="2335341D"/>
    <w:rsid w:val="233B6DCC"/>
    <w:rsid w:val="233F2E83"/>
    <w:rsid w:val="234B4184"/>
    <w:rsid w:val="234F75EF"/>
    <w:rsid w:val="23506762"/>
    <w:rsid w:val="23557637"/>
    <w:rsid w:val="23666256"/>
    <w:rsid w:val="23691369"/>
    <w:rsid w:val="236E3562"/>
    <w:rsid w:val="23722CB0"/>
    <w:rsid w:val="238C2CA1"/>
    <w:rsid w:val="238F69CD"/>
    <w:rsid w:val="2397196E"/>
    <w:rsid w:val="23AC7988"/>
    <w:rsid w:val="23C13227"/>
    <w:rsid w:val="23CE6D8D"/>
    <w:rsid w:val="23CE7EFA"/>
    <w:rsid w:val="23DB66E2"/>
    <w:rsid w:val="23DD1DFA"/>
    <w:rsid w:val="23EB5CB5"/>
    <w:rsid w:val="23F00831"/>
    <w:rsid w:val="23FF6960"/>
    <w:rsid w:val="24044AAD"/>
    <w:rsid w:val="24244378"/>
    <w:rsid w:val="2429376D"/>
    <w:rsid w:val="243B73AD"/>
    <w:rsid w:val="245A673B"/>
    <w:rsid w:val="245D7497"/>
    <w:rsid w:val="24601C34"/>
    <w:rsid w:val="24992C3F"/>
    <w:rsid w:val="249E445B"/>
    <w:rsid w:val="249F57D9"/>
    <w:rsid w:val="24CE18C8"/>
    <w:rsid w:val="24DB7584"/>
    <w:rsid w:val="24DC690A"/>
    <w:rsid w:val="24DF68C8"/>
    <w:rsid w:val="24E70DDF"/>
    <w:rsid w:val="25005C72"/>
    <w:rsid w:val="25072CB6"/>
    <w:rsid w:val="25150E4A"/>
    <w:rsid w:val="252F2220"/>
    <w:rsid w:val="254816C3"/>
    <w:rsid w:val="254A0730"/>
    <w:rsid w:val="255F10C9"/>
    <w:rsid w:val="25603261"/>
    <w:rsid w:val="2571416C"/>
    <w:rsid w:val="25752C02"/>
    <w:rsid w:val="258C3B72"/>
    <w:rsid w:val="258D35D7"/>
    <w:rsid w:val="258D6CA4"/>
    <w:rsid w:val="258F4D88"/>
    <w:rsid w:val="25A537C9"/>
    <w:rsid w:val="25A97B32"/>
    <w:rsid w:val="25AE239D"/>
    <w:rsid w:val="25CE0B3E"/>
    <w:rsid w:val="25CF30BA"/>
    <w:rsid w:val="25D87AE6"/>
    <w:rsid w:val="25E71F78"/>
    <w:rsid w:val="25EA75FB"/>
    <w:rsid w:val="26033C65"/>
    <w:rsid w:val="26081BF8"/>
    <w:rsid w:val="260C58C5"/>
    <w:rsid w:val="26103B59"/>
    <w:rsid w:val="261F28E2"/>
    <w:rsid w:val="26264554"/>
    <w:rsid w:val="26333A29"/>
    <w:rsid w:val="26351784"/>
    <w:rsid w:val="26427A28"/>
    <w:rsid w:val="26525ABF"/>
    <w:rsid w:val="26574E2B"/>
    <w:rsid w:val="267056BF"/>
    <w:rsid w:val="2682002D"/>
    <w:rsid w:val="268426E2"/>
    <w:rsid w:val="26871BB0"/>
    <w:rsid w:val="268D61F7"/>
    <w:rsid w:val="26915CA2"/>
    <w:rsid w:val="26E32255"/>
    <w:rsid w:val="26EA75CE"/>
    <w:rsid w:val="26EC6E10"/>
    <w:rsid w:val="26F37CBE"/>
    <w:rsid w:val="27107BF5"/>
    <w:rsid w:val="27326E8F"/>
    <w:rsid w:val="274A6662"/>
    <w:rsid w:val="27570A55"/>
    <w:rsid w:val="276A0443"/>
    <w:rsid w:val="276C1027"/>
    <w:rsid w:val="278B2D28"/>
    <w:rsid w:val="27947308"/>
    <w:rsid w:val="27B60AFD"/>
    <w:rsid w:val="27CD2E52"/>
    <w:rsid w:val="27D47C66"/>
    <w:rsid w:val="27E951EF"/>
    <w:rsid w:val="27EF2A5E"/>
    <w:rsid w:val="27F2325D"/>
    <w:rsid w:val="27F97D3B"/>
    <w:rsid w:val="28014AB4"/>
    <w:rsid w:val="28065FAE"/>
    <w:rsid w:val="280D46CF"/>
    <w:rsid w:val="28377CB6"/>
    <w:rsid w:val="284566E9"/>
    <w:rsid w:val="285577BE"/>
    <w:rsid w:val="287E15AA"/>
    <w:rsid w:val="288D4F6F"/>
    <w:rsid w:val="28BB2CA0"/>
    <w:rsid w:val="28BC2993"/>
    <w:rsid w:val="28C36B12"/>
    <w:rsid w:val="28C6288E"/>
    <w:rsid w:val="28CC10A4"/>
    <w:rsid w:val="28D34355"/>
    <w:rsid w:val="28E2106E"/>
    <w:rsid w:val="28E95483"/>
    <w:rsid w:val="28EB4FE6"/>
    <w:rsid w:val="28EE4F7F"/>
    <w:rsid w:val="28F257BC"/>
    <w:rsid w:val="28F50C58"/>
    <w:rsid w:val="28F62E85"/>
    <w:rsid w:val="29060891"/>
    <w:rsid w:val="290A7357"/>
    <w:rsid w:val="290F2E23"/>
    <w:rsid w:val="29116346"/>
    <w:rsid w:val="291B361A"/>
    <w:rsid w:val="2925011C"/>
    <w:rsid w:val="29291D27"/>
    <w:rsid w:val="29334E58"/>
    <w:rsid w:val="29342C80"/>
    <w:rsid w:val="294D1445"/>
    <w:rsid w:val="296D72E7"/>
    <w:rsid w:val="297C4F1B"/>
    <w:rsid w:val="29C562CC"/>
    <w:rsid w:val="29E522F6"/>
    <w:rsid w:val="29F50DAE"/>
    <w:rsid w:val="29F8715D"/>
    <w:rsid w:val="2A0857F5"/>
    <w:rsid w:val="2A0C1ECE"/>
    <w:rsid w:val="2A0D2B92"/>
    <w:rsid w:val="2A363620"/>
    <w:rsid w:val="2A4006A0"/>
    <w:rsid w:val="2A404777"/>
    <w:rsid w:val="2A6162EF"/>
    <w:rsid w:val="2A664904"/>
    <w:rsid w:val="2A6C0C25"/>
    <w:rsid w:val="2A6C7032"/>
    <w:rsid w:val="2A712586"/>
    <w:rsid w:val="2A750734"/>
    <w:rsid w:val="2A75687F"/>
    <w:rsid w:val="2A772195"/>
    <w:rsid w:val="2A7A4706"/>
    <w:rsid w:val="2A8347FB"/>
    <w:rsid w:val="2A865A2F"/>
    <w:rsid w:val="2A9955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A271C"/>
    <w:rsid w:val="2B325D8C"/>
    <w:rsid w:val="2B397288"/>
    <w:rsid w:val="2B5A2267"/>
    <w:rsid w:val="2B731A25"/>
    <w:rsid w:val="2B8A5BE5"/>
    <w:rsid w:val="2B8B12B1"/>
    <w:rsid w:val="2B930EF1"/>
    <w:rsid w:val="2BA323A5"/>
    <w:rsid w:val="2BA568A1"/>
    <w:rsid w:val="2BA86189"/>
    <w:rsid w:val="2BAE7AC1"/>
    <w:rsid w:val="2BB6470A"/>
    <w:rsid w:val="2BBF1E23"/>
    <w:rsid w:val="2BEF171D"/>
    <w:rsid w:val="2BFF34F5"/>
    <w:rsid w:val="2C232156"/>
    <w:rsid w:val="2C253560"/>
    <w:rsid w:val="2C486C9F"/>
    <w:rsid w:val="2C5437C3"/>
    <w:rsid w:val="2C5C42D2"/>
    <w:rsid w:val="2C620297"/>
    <w:rsid w:val="2C6E5DD6"/>
    <w:rsid w:val="2C73035A"/>
    <w:rsid w:val="2C7E4A99"/>
    <w:rsid w:val="2C7E5F6C"/>
    <w:rsid w:val="2C877559"/>
    <w:rsid w:val="2C9121B3"/>
    <w:rsid w:val="2C9C7397"/>
    <w:rsid w:val="2CA02C0D"/>
    <w:rsid w:val="2CB93C6B"/>
    <w:rsid w:val="2CBA29AB"/>
    <w:rsid w:val="2CBE4E27"/>
    <w:rsid w:val="2CC35504"/>
    <w:rsid w:val="2CDD2949"/>
    <w:rsid w:val="2CEB511E"/>
    <w:rsid w:val="2CFA67BB"/>
    <w:rsid w:val="2D0519BA"/>
    <w:rsid w:val="2D116AA8"/>
    <w:rsid w:val="2D184915"/>
    <w:rsid w:val="2D290954"/>
    <w:rsid w:val="2D2A668F"/>
    <w:rsid w:val="2D2B21F4"/>
    <w:rsid w:val="2D381B6C"/>
    <w:rsid w:val="2D3A36E0"/>
    <w:rsid w:val="2D3D59F8"/>
    <w:rsid w:val="2D4D14E6"/>
    <w:rsid w:val="2D4E4D0B"/>
    <w:rsid w:val="2D7406B9"/>
    <w:rsid w:val="2D927047"/>
    <w:rsid w:val="2D9E7AAD"/>
    <w:rsid w:val="2DB46007"/>
    <w:rsid w:val="2DC92410"/>
    <w:rsid w:val="2DD70417"/>
    <w:rsid w:val="2DDB0F96"/>
    <w:rsid w:val="2DE35418"/>
    <w:rsid w:val="2E0D4E92"/>
    <w:rsid w:val="2E101687"/>
    <w:rsid w:val="2E126562"/>
    <w:rsid w:val="2E1D58DE"/>
    <w:rsid w:val="2E3931A6"/>
    <w:rsid w:val="2E4D43C9"/>
    <w:rsid w:val="2E5513C9"/>
    <w:rsid w:val="2E575F25"/>
    <w:rsid w:val="2E581950"/>
    <w:rsid w:val="2E664B44"/>
    <w:rsid w:val="2E6E3AC1"/>
    <w:rsid w:val="2E806A22"/>
    <w:rsid w:val="2E8C2695"/>
    <w:rsid w:val="2EA961CA"/>
    <w:rsid w:val="2EAC7A25"/>
    <w:rsid w:val="2F102D49"/>
    <w:rsid w:val="2F1544E7"/>
    <w:rsid w:val="2F2A028B"/>
    <w:rsid w:val="2F2E4CD3"/>
    <w:rsid w:val="2F3C1119"/>
    <w:rsid w:val="2F3F322C"/>
    <w:rsid w:val="2F4361BA"/>
    <w:rsid w:val="2F4773C1"/>
    <w:rsid w:val="2F570BF8"/>
    <w:rsid w:val="2F645E81"/>
    <w:rsid w:val="2F7D414C"/>
    <w:rsid w:val="2F820752"/>
    <w:rsid w:val="2F843CF0"/>
    <w:rsid w:val="2FA557A7"/>
    <w:rsid w:val="2FCC6278"/>
    <w:rsid w:val="2FE73242"/>
    <w:rsid w:val="2FEB512F"/>
    <w:rsid w:val="2FF06294"/>
    <w:rsid w:val="2FF13DD5"/>
    <w:rsid w:val="2FF9135A"/>
    <w:rsid w:val="30121DB6"/>
    <w:rsid w:val="30194267"/>
    <w:rsid w:val="30265DB3"/>
    <w:rsid w:val="303D2A1B"/>
    <w:rsid w:val="30423C79"/>
    <w:rsid w:val="306205C4"/>
    <w:rsid w:val="308A183B"/>
    <w:rsid w:val="308E5FDF"/>
    <w:rsid w:val="30926D0D"/>
    <w:rsid w:val="30B31F9C"/>
    <w:rsid w:val="30B456E9"/>
    <w:rsid w:val="30B5287E"/>
    <w:rsid w:val="30BC215E"/>
    <w:rsid w:val="30F25E93"/>
    <w:rsid w:val="31302D16"/>
    <w:rsid w:val="31392A46"/>
    <w:rsid w:val="313A0546"/>
    <w:rsid w:val="31470314"/>
    <w:rsid w:val="316244B7"/>
    <w:rsid w:val="316F1595"/>
    <w:rsid w:val="31854918"/>
    <w:rsid w:val="31963578"/>
    <w:rsid w:val="31A91D45"/>
    <w:rsid w:val="31AC7DF1"/>
    <w:rsid w:val="31AE5339"/>
    <w:rsid w:val="31BA0E10"/>
    <w:rsid w:val="31BB2CDB"/>
    <w:rsid w:val="31D811C4"/>
    <w:rsid w:val="31D918C1"/>
    <w:rsid w:val="31EC57C4"/>
    <w:rsid w:val="320E75A5"/>
    <w:rsid w:val="32186538"/>
    <w:rsid w:val="32301C76"/>
    <w:rsid w:val="32384218"/>
    <w:rsid w:val="324178A4"/>
    <w:rsid w:val="325C2D76"/>
    <w:rsid w:val="326507A6"/>
    <w:rsid w:val="32657B0E"/>
    <w:rsid w:val="326F5570"/>
    <w:rsid w:val="32B366CE"/>
    <w:rsid w:val="32BB3603"/>
    <w:rsid w:val="32BE6424"/>
    <w:rsid w:val="32C246E2"/>
    <w:rsid w:val="32C31C14"/>
    <w:rsid w:val="32C753E9"/>
    <w:rsid w:val="32CD393F"/>
    <w:rsid w:val="32CF3752"/>
    <w:rsid w:val="32DD7534"/>
    <w:rsid w:val="33313D66"/>
    <w:rsid w:val="33397206"/>
    <w:rsid w:val="33451D77"/>
    <w:rsid w:val="33516568"/>
    <w:rsid w:val="33547F1F"/>
    <w:rsid w:val="33796778"/>
    <w:rsid w:val="337F01D0"/>
    <w:rsid w:val="3397431E"/>
    <w:rsid w:val="33AD0C9D"/>
    <w:rsid w:val="33CC7710"/>
    <w:rsid w:val="33D271EB"/>
    <w:rsid w:val="33E71937"/>
    <w:rsid w:val="33F4710E"/>
    <w:rsid w:val="33FC6D82"/>
    <w:rsid w:val="33FE650E"/>
    <w:rsid w:val="34070CF8"/>
    <w:rsid w:val="34075BDC"/>
    <w:rsid w:val="340925AB"/>
    <w:rsid w:val="341E76A7"/>
    <w:rsid w:val="34243808"/>
    <w:rsid w:val="34283065"/>
    <w:rsid w:val="343B5BC5"/>
    <w:rsid w:val="345D1DC0"/>
    <w:rsid w:val="345E2E34"/>
    <w:rsid w:val="346856A8"/>
    <w:rsid w:val="346B074E"/>
    <w:rsid w:val="34700B52"/>
    <w:rsid w:val="347C5431"/>
    <w:rsid w:val="34802039"/>
    <w:rsid w:val="349D3745"/>
    <w:rsid w:val="34B058ED"/>
    <w:rsid w:val="34B2035B"/>
    <w:rsid w:val="34BE7BE9"/>
    <w:rsid w:val="34E06A6B"/>
    <w:rsid w:val="34EA0F65"/>
    <w:rsid w:val="34F2011B"/>
    <w:rsid w:val="34F73B82"/>
    <w:rsid w:val="35027E6B"/>
    <w:rsid w:val="350826B6"/>
    <w:rsid w:val="351B5AFA"/>
    <w:rsid w:val="351D7160"/>
    <w:rsid w:val="351E408A"/>
    <w:rsid w:val="3544100D"/>
    <w:rsid w:val="35560A7E"/>
    <w:rsid w:val="35666732"/>
    <w:rsid w:val="356A5601"/>
    <w:rsid w:val="358210F2"/>
    <w:rsid w:val="358A3815"/>
    <w:rsid w:val="359962FA"/>
    <w:rsid w:val="359F16E4"/>
    <w:rsid w:val="35A070D0"/>
    <w:rsid w:val="35C606F5"/>
    <w:rsid w:val="35CB6289"/>
    <w:rsid w:val="35CE28FE"/>
    <w:rsid w:val="35D02FEC"/>
    <w:rsid w:val="35ED18D3"/>
    <w:rsid w:val="35FA78A7"/>
    <w:rsid w:val="35FD2EFD"/>
    <w:rsid w:val="35FF6231"/>
    <w:rsid w:val="3606138A"/>
    <w:rsid w:val="360A1772"/>
    <w:rsid w:val="362929EA"/>
    <w:rsid w:val="36513994"/>
    <w:rsid w:val="365430D0"/>
    <w:rsid w:val="3663131A"/>
    <w:rsid w:val="366B0451"/>
    <w:rsid w:val="367935A4"/>
    <w:rsid w:val="3683705A"/>
    <w:rsid w:val="36BC1010"/>
    <w:rsid w:val="36CD1928"/>
    <w:rsid w:val="36DD19D5"/>
    <w:rsid w:val="36DF0DCF"/>
    <w:rsid w:val="36E71C00"/>
    <w:rsid w:val="36E86D31"/>
    <w:rsid w:val="37206A20"/>
    <w:rsid w:val="372D0DBF"/>
    <w:rsid w:val="372F1B40"/>
    <w:rsid w:val="373A3D76"/>
    <w:rsid w:val="374B3050"/>
    <w:rsid w:val="3754377B"/>
    <w:rsid w:val="376755B7"/>
    <w:rsid w:val="377E113A"/>
    <w:rsid w:val="37873DC6"/>
    <w:rsid w:val="378C5DE8"/>
    <w:rsid w:val="379A365A"/>
    <w:rsid w:val="37A81832"/>
    <w:rsid w:val="37B3284E"/>
    <w:rsid w:val="37B93020"/>
    <w:rsid w:val="37FD7147"/>
    <w:rsid w:val="380F45AD"/>
    <w:rsid w:val="38365636"/>
    <w:rsid w:val="3842298F"/>
    <w:rsid w:val="3858063B"/>
    <w:rsid w:val="385D34C1"/>
    <w:rsid w:val="386B0ED9"/>
    <w:rsid w:val="387D29BE"/>
    <w:rsid w:val="38837E13"/>
    <w:rsid w:val="38862BA8"/>
    <w:rsid w:val="388C5F8D"/>
    <w:rsid w:val="38945C70"/>
    <w:rsid w:val="38A05A0D"/>
    <w:rsid w:val="38A968C8"/>
    <w:rsid w:val="38B96453"/>
    <w:rsid w:val="38CC4E85"/>
    <w:rsid w:val="38D27E22"/>
    <w:rsid w:val="38F05821"/>
    <w:rsid w:val="39197EF7"/>
    <w:rsid w:val="39267A2B"/>
    <w:rsid w:val="393B6A45"/>
    <w:rsid w:val="3957061E"/>
    <w:rsid w:val="39884C68"/>
    <w:rsid w:val="39AA29DA"/>
    <w:rsid w:val="39B50F31"/>
    <w:rsid w:val="39E530A4"/>
    <w:rsid w:val="39FF6602"/>
    <w:rsid w:val="3A033721"/>
    <w:rsid w:val="3A047EE6"/>
    <w:rsid w:val="3A0731EC"/>
    <w:rsid w:val="3A15267E"/>
    <w:rsid w:val="3A18263D"/>
    <w:rsid w:val="3A2549CE"/>
    <w:rsid w:val="3A323E9A"/>
    <w:rsid w:val="3A3A7E9A"/>
    <w:rsid w:val="3A3F3E43"/>
    <w:rsid w:val="3A4379E7"/>
    <w:rsid w:val="3A615F7B"/>
    <w:rsid w:val="3A650A0E"/>
    <w:rsid w:val="3A6662AD"/>
    <w:rsid w:val="3A731164"/>
    <w:rsid w:val="3A7F3816"/>
    <w:rsid w:val="3A845910"/>
    <w:rsid w:val="3A8D5643"/>
    <w:rsid w:val="3A986C86"/>
    <w:rsid w:val="3AB445DA"/>
    <w:rsid w:val="3AC40869"/>
    <w:rsid w:val="3AE93A93"/>
    <w:rsid w:val="3AEE64DE"/>
    <w:rsid w:val="3B0F1B0C"/>
    <w:rsid w:val="3B247D05"/>
    <w:rsid w:val="3B2D7969"/>
    <w:rsid w:val="3B5C5E4F"/>
    <w:rsid w:val="3B8A05C9"/>
    <w:rsid w:val="3B8B65A4"/>
    <w:rsid w:val="3B9923D8"/>
    <w:rsid w:val="3B9C51AC"/>
    <w:rsid w:val="3BA86F0F"/>
    <w:rsid w:val="3BB26CEE"/>
    <w:rsid w:val="3BBE4E43"/>
    <w:rsid w:val="3BDE71BE"/>
    <w:rsid w:val="3C0B32C7"/>
    <w:rsid w:val="3C0B7D3C"/>
    <w:rsid w:val="3C144C5E"/>
    <w:rsid w:val="3C145C57"/>
    <w:rsid w:val="3C217DAA"/>
    <w:rsid w:val="3C2B5922"/>
    <w:rsid w:val="3C302B64"/>
    <w:rsid w:val="3C351CCD"/>
    <w:rsid w:val="3C536F45"/>
    <w:rsid w:val="3C5D698E"/>
    <w:rsid w:val="3C7617CA"/>
    <w:rsid w:val="3C9A3ED3"/>
    <w:rsid w:val="3CBB3335"/>
    <w:rsid w:val="3CC21E8B"/>
    <w:rsid w:val="3CC258D5"/>
    <w:rsid w:val="3CD30C12"/>
    <w:rsid w:val="3CDC1F42"/>
    <w:rsid w:val="3CF1460B"/>
    <w:rsid w:val="3CFE7137"/>
    <w:rsid w:val="3CFF5FCC"/>
    <w:rsid w:val="3D1A706D"/>
    <w:rsid w:val="3D1E69C8"/>
    <w:rsid w:val="3D216871"/>
    <w:rsid w:val="3D244471"/>
    <w:rsid w:val="3D4C08A0"/>
    <w:rsid w:val="3D5305FD"/>
    <w:rsid w:val="3D5F34BD"/>
    <w:rsid w:val="3D752505"/>
    <w:rsid w:val="3D7A5575"/>
    <w:rsid w:val="3D7D0F46"/>
    <w:rsid w:val="3D8370EF"/>
    <w:rsid w:val="3D87456C"/>
    <w:rsid w:val="3D916D86"/>
    <w:rsid w:val="3D9210C1"/>
    <w:rsid w:val="3D9901D9"/>
    <w:rsid w:val="3D9A6A88"/>
    <w:rsid w:val="3DA1312A"/>
    <w:rsid w:val="3DB66C9C"/>
    <w:rsid w:val="3DC60812"/>
    <w:rsid w:val="3DCF4766"/>
    <w:rsid w:val="3DD03022"/>
    <w:rsid w:val="3DE76887"/>
    <w:rsid w:val="3DEB027D"/>
    <w:rsid w:val="3E051F58"/>
    <w:rsid w:val="3E066FA9"/>
    <w:rsid w:val="3E151359"/>
    <w:rsid w:val="3E151F4C"/>
    <w:rsid w:val="3E2C49F5"/>
    <w:rsid w:val="3E3300CE"/>
    <w:rsid w:val="3E5A0513"/>
    <w:rsid w:val="3E5A3026"/>
    <w:rsid w:val="3E5D3CBD"/>
    <w:rsid w:val="3E657539"/>
    <w:rsid w:val="3E6D35C9"/>
    <w:rsid w:val="3E727C2D"/>
    <w:rsid w:val="3E833861"/>
    <w:rsid w:val="3E9902BD"/>
    <w:rsid w:val="3EAB68CC"/>
    <w:rsid w:val="3EB45BDF"/>
    <w:rsid w:val="3EE16478"/>
    <w:rsid w:val="3EF2130E"/>
    <w:rsid w:val="3F0E4AA7"/>
    <w:rsid w:val="3F1744A9"/>
    <w:rsid w:val="3F193BE6"/>
    <w:rsid w:val="3F1D1FCC"/>
    <w:rsid w:val="3F23345D"/>
    <w:rsid w:val="3F322E39"/>
    <w:rsid w:val="3F3C59F7"/>
    <w:rsid w:val="3F426AC3"/>
    <w:rsid w:val="3F68666F"/>
    <w:rsid w:val="3F722647"/>
    <w:rsid w:val="3F7A2C0E"/>
    <w:rsid w:val="3F8506AB"/>
    <w:rsid w:val="3F8E25FD"/>
    <w:rsid w:val="3F981A4B"/>
    <w:rsid w:val="3FB771CD"/>
    <w:rsid w:val="3FBA408C"/>
    <w:rsid w:val="3FC454C6"/>
    <w:rsid w:val="3FC657A0"/>
    <w:rsid w:val="3FE31D82"/>
    <w:rsid w:val="3FEE7226"/>
    <w:rsid w:val="3FF60A01"/>
    <w:rsid w:val="40123B43"/>
    <w:rsid w:val="40151C80"/>
    <w:rsid w:val="401A4816"/>
    <w:rsid w:val="404224B6"/>
    <w:rsid w:val="40432906"/>
    <w:rsid w:val="40433886"/>
    <w:rsid w:val="40516742"/>
    <w:rsid w:val="405B60B6"/>
    <w:rsid w:val="406903C7"/>
    <w:rsid w:val="406930A8"/>
    <w:rsid w:val="40805B94"/>
    <w:rsid w:val="40DA6699"/>
    <w:rsid w:val="40E81F30"/>
    <w:rsid w:val="4113642B"/>
    <w:rsid w:val="41151751"/>
    <w:rsid w:val="411D5581"/>
    <w:rsid w:val="411F13DA"/>
    <w:rsid w:val="41225E28"/>
    <w:rsid w:val="413635BD"/>
    <w:rsid w:val="413E7731"/>
    <w:rsid w:val="4146059B"/>
    <w:rsid w:val="415B01B8"/>
    <w:rsid w:val="415D31E9"/>
    <w:rsid w:val="417525E2"/>
    <w:rsid w:val="417F3AA5"/>
    <w:rsid w:val="418F3709"/>
    <w:rsid w:val="419E41FD"/>
    <w:rsid w:val="41A6561A"/>
    <w:rsid w:val="41BC51E7"/>
    <w:rsid w:val="41C1720A"/>
    <w:rsid w:val="41C807B8"/>
    <w:rsid w:val="41D35005"/>
    <w:rsid w:val="41DA7F1B"/>
    <w:rsid w:val="41E310E9"/>
    <w:rsid w:val="41EC244C"/>
    <w:rsid w:val="42115916"/>
    <w:rsid w:val="4279133E"/>
    <w:rsid w:val="427B56B5"/>
    <w:rsid w:val="429F4867"/>
    <w:rsid w:val="42B876D7"/>
    <w:rsid w:val="42C12743"/>
    <w:rsid w:val="42DC7FA5"/>
    <w:rsid w:val="42DE73EB"/>
    <w:rsid w:val="42EA5D21"/>
    <w:rsid w:val="42F55E0F"/>
    <w:rsid w:val="42F8391A"/>
    <w:rsid w:val="43002024"/>
    <w:rsid w:val="430B71E6"/>
    <w:rsid w:val="4313140F"/>
    <w:rsid w:val="4337362E"/>
    <w:rsid w:val="433C0AD9"/>
    <w:rsid w:val="435C2DD4"/>
    <w:rsid w:val="43606EE8"/>
    <w:rsid w:val="43825E8E"/>
    <w:rsid w:val="438C60C3"/>
    <w:rsid w:val="43B67D40"/>
    <w:rsid w:val="43C90ABC"/>
    <w:rsid w:val="43D60F59"/>
    <w:rsid w:val="43D6358D"/>
    <w:rsid w:val="43E61AF4"/>
    <w:rsid w:val="43EA6FF8"/>
    <w:rsid w:val="43FA1F0F"/>
    <w:rsid w:val="440313A1"/>
    <w:rsid w:val="44083C52"/>
    <w:rsid w:val="440B5E9D"/>
    <w:rsid w:val="44154F1C"/>
    <w:rsid w:val="44160887"/>
    <w:rsid w:val="441B1DA2"/>
    <w:rsid w:val="441C02A4"/>
    <w:rsid w:val="44290F04"/>
    <w:rsid w:val="44387B6B"/>
    <w:rsid w:val="44396033"/>
    <w:rsid w:val="444168F4"/>
    <w:rsid w:val="444F4CC5"/>
    <w:rsid w:val="44723E90"/>
    <w:rsid w:val="44905E4F"/>
    <w:rsid w:val="449C324D"/>
    <w:rsid w:val="44AE2C64"/>
    <w:rsid w:val="44B25954"/>
    <w:rsid w:val="44B571A3"/>
    <w:rsid w:val="44B578AF"/>
    <w:rsid w:val="44BB5881"/>
    <w:rsid w:val="44BF3C17"/>
    <w:rsid w:val="44C2475D"/>
    <w:rsid w:val="44C4105B"/>
    <w:rsid w:val="44C52BC8"/>
    <w:rsid w:val="44C70D28"/>
    <w:rsid w:val="44E43637"/>
    <w:rsid w:val="44F2491C"/>
    <w:rsid w:val="44F50EE8"/>
    <w:rsid w:val="44F64EB1"/>
    <w:rsid w:val="45057185"/>
    <w:rsid w:val="45157910"/>
    <w:rsid w:val="451B4B19"/>
    <w:rsid w:val="451B643C"/>
    <w:rsid w:val="45400BC0"/>
    <w:rsid w:val="455C4C80"/>
    <w:rsid w:val="45617F43"/>
    <w:rsid w:val="45675C27"/>
    <w:rsid w:val="4572498F"/>
    <w:rsid w:val="458469DB"/>
    <w:rsid w:val="45871207"/>
    <w:rsid w:val="459D3251"/>
    <w:rsid w:val="45A1725C"/>
    <w:rsid w:val="45A34A00"/>
    <w:rsid w:val="45C20D69"/>
    <w:rsid w:val="45D077D4"/>
    <w:rsid w:val="45EF1E60"/>
    <w:rsid w:val="45F877F1"/>
    <w:rsid w:val="46163A58"/>
    <w:rsid w:val="461C30A3"/>
    <w:rsid w:val="461F2208"/>
    <w:rsid w:val="463416CE"/>
    <w:rsid w:val="4638223A"/>
    <w:rsid w:val="466E0F0B"/>
    <w:rsid w:val="4673382E"/>
    <w:rsid w:val="4675674D"/>
    <w:rsid w:val="469F56A5"/>
    <w:rsid w:val="46C86EBD"/>
    <w:rsid w:val="46DA4A29"/>
    <w:rsid w:val="46E26B7A"/>
    <w:rsid w:val="46EF6364"/>
    <w:rsid w:val="46F22FE0"/>
    <w:rsid w:val="46FE495F"/>
    <w:rsid w:val="470B3C00"/>
    <w:rsid w:val="470E7548"/>
    <w:rsid w:val="471911A4"/>
    <w:rsid w:val="471E3E36"/>
    <w:rsid w:val="474642EB"/>
    <w:rsid w:val="47464FC4"/>
    <w:rsid w:val="47493A77"/>
    <w:rsid w:val="474C1532"/>
    <w:rsid w:val="4751578B"/>
    <w:rsid w:val="47561544"/>
    <w:rsid w:val="476025BF"/>
    <w:rsid w:val="47667359"/>
    <w:rsid w:val="476F7EEF"/>
    <w:rsid w:val="477E5C97"/>
    <w:rsid w:val="477E7524"/>
    <w:rsid w:val="47833A3E"/>
    <w:rsid w:val="4786400A"/>
    <w:rsid w:val="479A3DE3"/>
    <w:rsid w:val="47C01F75"/>
    <w:rsid w:val="47DB202B"/>
    <w:rsid w:val="47E65C2F"/>
    <w:rsid w:val="47EB601C"/>
    <w:rsid w:val="47F664B8"/>
    <w:rsid w:val="47F76470"/>
    <w:rsid w:val="48052A48"/>
    <w:rsid w:val="48067F05"/>
    <w:rsid w:val="48082259"/>
    <w:rsid w:val="481A5198"/>
    <w:rsid w:val="4830797B"/>
    <w:rsid w:val="484A5559"/>
    <w:rsid w:val="485A507F"/>
    <w:rsid w:val="486E3D48"/>
    <w:rsid w:val="48723A44"/>
    <w:rsid w:val="487E02E7"/>
    <w:rsid w:val="48A067FF"/>
    <w:rsid w:val="48A26C6C"/>
    <w:rsid w:val="48B84574"/>
    <w:rsid w:val="48CD6635"/>
    <w:rsid w:val="48E31A8E"/>
    <w:rsid w:val="48F15DFA"/>
    <w:rsid w:val="4900172C"/>
    <w:rsid w:val="491451B5"/>
    <w:rsid w:val="491A53A2"/>
    <w:rsid w:val="492C6E96"/>
    <w:rsid w:val="493F499D"/>
    <w:rsid w:val="494139AE"/>
    <w:rsid w:val="49657721"/>
    <w:rsid w:val="49825CBE"/>
    <w:rsid w:val="49A67A57"/>
    <w:rsid w:val="49AD250C"/>
    <w:rsid w:val="49B839C4"/>
    <w:rsid w:val="49F43B8C"/>
    <w:rsid w:val="4A0D10B0"/>
    <w:rsid w:val="4A223490"/>
    <w:rsid w:val="4A280924"/>
    <w:rsid w:val="4A2B1DEA"/>
    <w:rsid w:val="4A2D0F49"/>
    <w:rsid w:val="4A443451"/>
    <w:rsid w:val="4A483D90"/>
    <w:rsid w:val="4A712BA0"/>
    <w:rsid w:val="4A86569C"/>
    <w:rsid w:val="4A9A792C"/>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551754"/>
    <w:rsid w:val="4B5A73D8"/>
    <w:rsid w:val="4B6842EC"/>
    <w:rsid w:val="4B8B3A50"/>
    <w:rsid w:val="4B911420"/>
    <w:rsid w:val="4B914690"/>
    <w:rsid w:val="4B967ECC"/>
    <w:rsid w:val="4B9801F4"/>
    <w:rsid w:val="4BAA574F"/>
    <w:rsid w:val="4BD70D0D"/>
    <w:rsid w:val="4BE55BB9"/>
    <w:rsid w:val="4C2941CA"/>
    <w:rsid w:val="4C3979DB"/>
    <w:rsid w:val="4C3D2514"/>
    <w:rsid w:val="4C3E0FF7"/>
    <w:rsid w:val="4C4128E4"/>
    <w:rsid w:val="4C642696"/>
    <w:rsid w:val="4C753405"/>
    <w:rsid w:val="4C834096"/>
    <w:rsid w:val="4C96033B"/>
    <w:rsid w:val="4C97549D"/>
    <w:rsid w:val="4CA52FBE"/>
    <w:rsid w:val="4CAB201F"/>
    <w:rsid w:val="4CC4204E"/>
    <w:rsid w:val="4CCF2F1F"/>
    <w:rsid w:val="4CD841F0"/>
    <w:rsid w:val="4CD87782"/>
    <w:rsid w:val="4CDD1206"/>
    <w:rsid w:val="4CF06B00"/>
    <w:rsid w:val="4CF76CE2"/>
    <w:rsid w:val="4CF813F9"/>
    <w:rsid w:val="4D1B2635"/>
    <w:rsid w:val="4D2251B3"/>
    <w:rsid w:val="4D463441"/>
    <w:rsid w:val="4D6837B8"/>
    <w:rsid w:val="4D6A0811"/>
    <w:rsid w:val="4D6F6F69"/>
    <w:rsid w:val="4D776DC3"/>
    <w:rsid w:val="4D877D93"/>
    <w:rsid w:val="4D9159F5"/>
    <w:rsid w:val="4D96605A"/>
    <w:rsid w:val="4D98115A"/>
    <w:rsid w:val="4DA01148"/>
    <w:rsid w:val="4DCD73A9"/>
    <w:rsid w:val="4DF21DFB"/>
    <w:rsid w:val="4DFD3850"/>
    <w:rsid w:val="4E1702F3"/>
    <w:rsid w:val="4E2369FD"/>
    <w:rsid w:val="4E303544"/>
    <w:rsid w:val="4E33408C"/>
    <w:rsid w:val="4E710658"/>
    <w:rsid w:val="4E846458"/>
    <w:rsid w:val="4EB244F5"/>
    <w:rsid w:val="4EC250AA"/>
    <w:rsid w:val="4EC43EE2"/>
    <w:rsid w:val="4EDC653A"/>
    <w:rsid w:val="4EE23ABC"/>
    <w:rsid w:val="4F0129AC"/>
    <w:rsid w:val="4F01717B"/>
    <w:rsid w:val="4F097167"/>
    <w:rsid w:val="4F401FBB"/>
    <w:rsid w:val="4F4F565B"/>
    <w:rsid w:val="4F531102"/>
    <w:rsid w:val="4F576D7F"/>
    <w:rsid w:val="4F5A4BC4"/>
    <w:rsid w:val="4F626555"/>
    <w:rsid w:val="4F7933F9"/>
    <w:rsid w:val="4F8144A4"/>
    <w:rsid w:val="4F8731AB"/>
    <w:rsid w:val="4F903087"/>
    <w:rsid w:val="4FAD3702"/>
    <w:rsid w:val="4FC6748D"/>
    <w:rsid w:val="4FD14464"/>
    <w:rsid w:val="4FE20BB5"/>
    <w:rsid w:val="4FFA7287"/>
    <w:rsid w:val="500C2A64"/>
    <w:rsid w:val="503839AD"/>
    <w:rsid w:val="503B7294"/>
    <w:rsid w:val="50564035"/>
    <w:rsid w:val="509A6650"/>
    <w:rsid w:val="50B14CA7"/>
    <w:rsid w:val="50B42C92"/>
    <w:rsid w:val="50C46433"/>
    <w:rsid w:val="50F04F61"/>
    <w:rsid w:val="5118355B"/>
    <w:rsid w:val="512A08D6"/>
    <w:rsid w:val="512B081D"/>
    <w:rsid w:val="512B4746"/>
    <w:rsid w:val="5150314F"/>
    <w:rsid w:val="51526357"/>
    <w:rsid w:val="51533CC7"/>
    <w:rsid w:val="515F7EA6"/>
    <w:rsid w:val="516164B6"/>
    <w:rsid w:val="516372E4"/>
    <w:rsid w:val="516414B3"/>
    <w:rsid w:val="517003D2"/>
    <w:rsid w:val="51887C28"/>
    <w:rsid w:val="519705C8"/>
    <w:rsid w:val="519B3A9C"/>
    <w:rsid w:val="51B33439"/>
    <w:rsid w:val="51B3391D"/>
    <w:rsid w:val="51CB7231"/>
    <w:rsid w:val="51DE6A73"/>
    <w:rsid w:val="51F326E7"/>
    <w:rsid w:val="521956B4"/>
    <w:rsid w:val="52306F10"/>
    <w:rsid w:val="52463294"/>
    <w:rsid w:val="52473222"/>
    <w:rsid w:val="524C1ED0"/>
    <w:rsid w:val="5252693E"/>
    <w:rsid w:val="525B21B3"/>
    <w:rsid w:val="5288723F"/>
    <w:rsid w:val="529D62AB"/>
    <w:rsid w:val="52A764C0"/>
    <w:rsid w:val="52C716E5"/>
    <w:rsid w:val="52C73CB6"/>
    <w:rsid w:val="52CF5BD6"/>
    <w:rsid w:val="52E02DB1"/>
    <w:rsid w:val="52E15A71"/>
    <w:rsid w:val="52E64FBD"/>
    <w:rsid w:val="52ED5A18"/>
    <w:rsid w:val="530C65D4"/>
    <w:rsid w:val="532049B3"/>
    <w:rsid w:val="5322043D"/>
    <w:rsid w:val="5328483A"/>
    <w:rsid w:val="532D0EE3"/>
    <w:rsid w:val="53361AE6"/>
    <w:rsid w:val="533C018A"/>
    <w:rsid w:val="534578C9"/>
    <w:rsid w:val="5347639A"/>
    <w:rsid w:val="534E13AE"/>
    <w:rsid w:val="537629B5"/>
    <w:rsid w:val="537B6AB8"/>
    <w:rsid w:val="538556C1"/>
    <w:rsid w:val="53866318"/>
    <w:rsid w:val="53A7222E"/>
    <w:rsid w:val="53C548B5"/>
    <w:rsid w:val="53C87335"/>
    <w:rsid w:val="53D25C65"/>
    <w:rsid w:val="53EF6E85"/>
    <w:rsid w:val="53F050F7"/>
    <w:rsid w:val="54026475"/>
    <w:rsid w:val="54057EB6"/>
    <w:rsid w:val="540D2DB1"/>
    <w:rsid w:val="54265DCC"/>
    <w:rsid w:val="54564BA3"/>
    <w:rsid w:val="545A23E4"/>
    <w:rsid w:val="545D2A76"/>
    <w:rsid w:val="547C69F2"/>
    <w:rsid w:val="548352CB"/>
    <w:rsid w:val="548B79F3"/>
    <w:rsid w:val="54900F96"/>
    <w:rsid w:val="54990495"/>
    <w:rsid w:val="54AE498A"/>
    <w:rsid w:val="54D509EC"/>
    <w:rsid w:val="54D73DC0"/>
    <w:rsid w:val="55093E22"/>
    <w:rsid w:val="553266E7"/>
    <w:rsid w:val="553413DD"/>
    <w:rsid w:val="55367F4D"/>
    <w:rsid w:val="553A13A9"/>
    <w:rsid w:val="55440B0E"/>
    <w:rsid w:val="55494A31"/>
    <w:rsid w:val="554B1F27"/>
    <w:rsid w:val="55794F8B"/>
    <w:rsid w:val="557B4C8B"/>
    <w:rsid w:val="558A5F58"/>
    <w:rsid w:val="558D782E"/>
    <w:rsid w:val="558F42FA"/>
    <w:rsid w:val="55951C70"/>
    <w:rsid w:val="55BB4B52"/>
    <w:rsid w:val="55CB1CAC"/>
    <w:rsid w:val="55D11067"/>
    <w:rsid w:val="55D15F89"/>
    <w:rsid w:val="55EA6D1D"/>
    <w:rsid w:val="55EE45E5"/>
    <w:rsid w:val="560839E5"/>
    <w:rsid w:val="56211BC6"/>
    <w:rsid w:val="56597936"/>
    <w:rsid w:val="565A3745"/>
    <w:rsid w:val="56674043"/>
    <w:rsid w:val="56890707"/>
    <w:rsid w:val="5694199B"/>
    <w:rsid w:val="56B50793"/>
    <w:rsid w:val="56D87655"/>
    <w:rsid w:val="56DC7D13"/>
    <w:rsid w:val="56DD7F29"/>
    <w:rsid w:val="56DF393F"/>
    <w:rsid w:val="56F267E1"/>
    <w:rsid w:val="56F54041"/>
    <w:rsid w:val="57036935"/>
    <w:rsid w:val="571324AB"/>
    <w:rsid w:val="571E6EC9"/>
    <w:rsid w:val="57211E57"/>
    <w:rsid w:val="57271B76"/>
    <w:rsid w:val="57290486"/>
    <w:rsid w:val="57495B53"/>
    <w:rsid w:val="57555665"/>
    <w:rsid w:val="575F3DA0"/>
    <w:rsid w:val="57741E6F"/>
    <w:rsid w:val="577838C7"/>
    <w:rsid w:val="577A51D7"/>
    <w:rsid w:val="578E0E4C"/>
    <w:rsid w:val="5798597C"/>
    <w:rsid w:val="57A13973"/>
    <w:rsid w:val="57AB1756"/>
    <w:rsid w:val="57BA40E0"/>
    <w:rsid w:val="57C05330"/>
    <w:rsid w:val="57E46B48"/>
    <w:rsid w:val="57F86A47"/>
    <w:rsid w:val="5801289D"/>
    <w:rsid w:val="58033F83"/>
    <w:rsid w:val="58034FDF"/>
    <w:rsid w:val="58051F1B"/>
    <w:rsid w:val="581669AF"/>
    <w:rsid w:val="582A0100"/>
    <w:rsid w:val="582A6F6D"/>
    <w:rsid w:val="58461CAA"/>
    <w:rsid w:val="5846712E"/>
    <w:rsid w:val="584E4B11"/>
    <w:rsid w:val="58572E7D"/>
    <w:rsid w:val="58687B2D"/>
    <w:rsid w:val="586C05B7"/>
    <w:rsid w:val="587B333A"/>
    <w:rsid w:val="587F5229"/>
    <w:rsid w:val="58872DB5"/>
    <w:rsid w:val="588E3958"/>
    <w:rsid w:val="58957BD9"/>
    <w:rsid w:val="58A03185"/>
    <w:rsid w:val="58A74E2C"/>
    <w:rsid w:val="58B50A9E"/>
    <w:rsid w:val="58C213D0"/>
    <w:rsid w:val="58CA2633"/>
    <w:rsid w:val="58D108AB"/>
    <w:rsid w:val="58F14B54"/>
    <w:rsid w:val="590848BC"/>
    <w:rsid w:val="5917423E"/>
    <w:rsid w:val="59523F34"/>
    <w:rsid w:val="59565A07"/>
    <w:rsid w:val="59826013"/>
    <w:rsid w:val="599312D8"/>
    <w:rsid w:val="59A83A62"/>
    <w:rsid w:val="59AE6DF4"/>
    <w:rsid w:val="59AF2D7A"/>
    <w:rsid w:val="59BD41FF"/>
    <w:rsid w:val="59C62A60"/>
    <w:rsid w:val="59CF35AC"/>
    <w:rsid w:val="59D93084"/>
    <w:rsid w:val="59E268FB"/>
    <w:rsid w:val="59E539F6"/>
    <w:rsid w:val="5A082B87"/>
    <w:rsid w:val="5A0C31B3"/>
    <w:rsid w:val="5A0D6A16"/>
    <w:rsid w:val="5A2B68D2"/>
    <w:rsid w:val="5A2F6ABD"/>
    <w:rsid w:val="5A415650"/>
    <w:rsid w:val="5A5105C3"/>
    <w:rsid w:val="5A5925FE"/>
    <w:rsid w:val="5A5A54FE"/>
    <w:rsid w:val="5A70416F"/>
    <w:rsid w:val="5A751708"/>
    <w:rsid w:val="5A8654CC"/>
    <w:rsid w:val="5A8D164F"/>
    <w:rsid w:val="5AAD6717"/>
    <w:rsid w:val="5AB032EE"/>
    <w:rsid w:val="5AC13BE8"/>
    <w:rsid w:val="5B006684"/>
    <w:rsid w:val="5B0B5EE6"/>
    <w:rsid w:val="5B0C78F5"/>
    <w:rsid w:val="5B1523FA"/>
    <w:rsid w:val="5B2E1668"/>
    <w:rsid w:val="5B39471A"/>
    <w:rsid w:val="5B500A59"/>
    <w:rsid w:val="5B506AC3"/>
    <w:rsid w:val="5B526958"/>
    <w:rsid w:val="5B536466"/>
    <w:rsid w:val="5B68723A"/>
    <w:rsid w:val="5B743189"/>
    <w:rsid w:val="5B930D6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C7C44"/>
    <w:rsid w:val="5C987128"/>
    <w:rsid w:val="5C9A4A4A"/>
    <w:rsid w:val="5CAB4B60"/>
    <w:rsid w:val="5CBF06B9"/>
    <w:rsid w:val="5CC10696"/>
    <w:rsid w:val="5CC724C1"/>
    <w:rsid w:val="5CCC2C10"/>
    <w:rsid w:val="5CDA79EE"/>
    <w:rsid w:val="5CDD1115"/>
    <w:rsid w:val="5CE96A5A"/>
    <w:rsid w:val="5CF30676"/>
    <w:rsid w:val="5CF329AB"/>
    <w:rsid w:val="5CFA66B6"/>
    <w:rsid w:val="5D041DC0"/>
    <w:rsid w:val="5D11373C"/>
    <w:rsid w:val="5D155469"/>
    <w:rsid w:val="5D1B79E4"/>
    <w:rsid w:val="5D604556"/>
    <w:rsid w:val="5DA03427"/>
    <w:rsid w:val="5DA12B26"/>
    <w:rsid w:val="5DF242AA"/>
    <w:rsid w:val="5DF90388"/>
    <w:rsid w:val="5E0914A4"/>
    <w:rsid w:val="5E1844B1"/>
    <w:rsid w:val="5E325F47"/>
    <w:rsid w:val="5E3C6C0B"/>
    <w:rsid w:val="5E3F4424"/>
    <w:rsid w:val="5E433908"/>
    <w:rsid w:val="5E596E47"/>
    <w:rsid w:val="5E640B4C"/>
    <w:rsid w:val="5E8421F4"/>
    <w:rsid w:val="5E857C28"/>
    <w:rsid w:val="5E943315"/>
    <w:rsid w:val="5E99403E"/>
    <w:rsid w:val="5EB5647F"/>
    <w:rsid w:val="5ECB7BF2"/>
    <w:rsid w:val="5EF24373"/>
    <w:rsid w:val="5F123402"/>
    <w:rsid w:val="5F15489F"/>
    <w:rsid w:val="5F160E8A"/>
    <w:rsid w:val="5F1B18E3"/>
    <w:rsid w:val="5F1B6750"/>
    <w:rsid w:val="5F2E502C"/>
    <w:rsid w:val="5F3F41A6"/>
    <w:rsid w:val="5F5F2A5D"/>
    <w:rsid w:val="5F6A70E7"/>
    <w:rsid w:val="5F7413ED"/>
    <w:rsid w:val="5F74277E"/>
    <w:rsid w:val="5F817E11"/>
    <w:rsid w:val="5FA76A91"/>
    <w:rsid w:val="5FCE245F"/>
    <w:rsid w:val="5FD32219"/>
    <w:rsid w:val="5FDC1B9B"/>
    <w:rsid w:val="5FF74A8C"/>
    <w:rsid w:val="5FFB1252"/>
    <w:rsid w:val="60130301"/>
    <w:rsid w:val="603043EF"/>
    <w:rsid w:val="604D59E9"/>
    <w:rsid w:val="6053446B"/>
    <w:rsid w:val="60830074"/>
    <w:rsid w:val="60870B21"/>
    <w:rsid w:val="6095223F"/>
    <w:rsid w:val="60A869EE"/>
    <w:rsid w:val="60AC0C65"/>
    <w:rsid w:val="60AF3BE9"/>
    <w:rsid w:val="60D33850"/>
    <w:rsid w:val="60DD07BF"/>
    <w:rsid w:val="60E9103E"/>
    <w:rsid w:val="610526AE"/>
    <w:rsid w:val="610C1445"/>
    <w:rsid w:val="611E245A"/>
    <w:rsid w:val="61545B6D"/>
    <w:rsid w:val="616C773E"/>
    <w:rsid w:val="61763288"/>
    <w:rsid w:val="61981920"/>
    <w:rsid w:val="61A335E1"/>
    <w:rsid w:val="61A359FF"/>
    <w:rsid w:val="61BD00F1"/>
    <w:rsid w:val="61C02FF5"/>
    <w:rsid w:val="61D55291"/>
    <w:rsid w:val="61DB6C55"/>
    <w:rsid w:val="61EE19CC"/>
    <w:rsid w:val="61F354C2"/>
    <w:rsid w:val="620E5D8A"/>
    <w:rsid w:val="62125083"/>
    <w:rsid w:val="62262E7A"/>
    <w:rsid w:val="6231003C"/>
    <w:rsid w:val="62366488"/>
    <w:rsid w:val="623B63B7"/>
    <w:rsid w:val="623F4920"/>
    <w:rsid w:val="624A1B49"/>
    <w:rsid w:val="624E45D8"/>
    <w:rsid w:val="6250617C"/>
    <w:rsid w:val="62520DCA"/>
    <w:rsid w:val="62666F47"/>
    <w:rsid w:val="62690F67"/>
    <w:rsid w:val="627A370F"/>
    <w:rsid w:val="62990512"/>
    <w:rsid w:val="62B25649"/>
    <w:rsid w:val="62BC6E00"/>
    <w:rsid w:val="62C56FE5"/>
    <w:rsid w:val="62C7240E"/>
    <w:rsid w:val="62EA423D"/>
    <w:rsid w:val="630031BE"/>
    <w:rsid w:val="630E78F0"/>
    <w:rsid w:val="63103FC7"/>
    <w:rsid w:val="63160CAE"/>
    <w:rsid w:val="631652DA"/>
    <w:rsid w:val="631D3111"/>
    <w:rsid w:val="63204A36"/>
    <w:rsid w:val="63250A4F"/>
    <w:rsid w:val="632E1C39"/>
    <w:rsid w:val="6361690C"/>
    <w:rsid w:val="63733461"/>
    <w:rsid w:val="637E3BE7"/>
    <w:rsid w:val="63850E8E"/>
    <w:rsid w:val="638C4CDE"/>
    <w:rsid w:val="63905FCF"/>
    <w:rsid w:val="63A20961"/>
    <w:rsid w:val="63A20A78"/>
    <w:rsid w:val="63A853FB"/>
    <w:rsid w:val="63C75B92"/>
    <w:rsid w:val="63CA29B9"/>
    <w:rsid w:val="63D3253C"/>
    <w:rsid w:val="63F60575"/>
    <w:rsid w:val="63F97961"/>
    <w:rsid w:val="640E3524"/>
    <w:rsid w:val="640F7FA3"/>
    <w:rsid w:val="64102D47"/>
    <w:rsid w:val="64280937"/>
    <w:rsid w:val="64294638"/>
    <w:rsid w:val="642F435C"/>
    <w:rsid w:val="64307255"/>
    <w:rsid w:val="64410116"/>
    <w:rsid w:val="64412FC5"/>
    <w:rsid w:val="6475495F"/>
    <w:rsid w:val="64A37D80"/>
    <w:rsid w:val="64B73716"/>
    <w:rsid w:val="64BD7A01"/>
    <w:rsid w:val="64C97B3D"/>
    <w:rsid w:val="64CD75B9"/>
    <w:rsid w:val="64D85F5A"/>
    <w:rsid w:val="64EE07A4"/>
    <w:rsid w:val="64FD759D"/>
    <w:rsid w:val="65041A55"/>
    <w:rsid w:val="65096401"/>
    <w:rsid w:val="651F1D9A"/>
    <w:rsid w:val="6528351F"/>
    <w:rsid w:val="65327258"/>
    <w:rsid w:val="653F00AD"/>
    <w:rsid w:val="65544D25"/>
    <w:rsid w:val="6566344B"/>
    <w:rsid w:val="656A573C"/>
    <w:rsid w:val="65763127"/>
    <w:rsid w:val="65886A1A"/>
    <w:rsid w:val="65905186"/>
    <w:rsid w:val="65937E61"/>
    <w:rsid w:val="659E6DB8"/>
    <w:rsid w:val="65A35E61"/>
    <w:rsid w:val="65A62DB8"/>
    <w:rsid w:val="65B12C47"/>
    <w:rsid w:val="65BB367F"/>
    <w:rsid w:val="65CA48D5"/>
    <w:rsid w:val="65DA1825"/>
    <w:rsid w:val="65E55DC7"/>
    <w:rsid w:val="660518AD"/>
    <w:rsid w:val="662E458E"/>
    <w:rsid w:val="66843C27"/>
    <w:rsid w:val="668A358B"/>
    <w:rsid w:val="66A22294"/>
    <w:rsid w:val="66B167D9"/>
    <w:rsid w:val="66B718F6"/>
    <w:rsid w:val="66C6028C"/>
    <w:rsid w:val="66F35B25"/>
    <w:rsid w:val="66FD34E6"/>
    <w:rsid w:val="66FE30D6"/>
    <w:rsid w:val="67087440"/>
    <w:rsid w:val="670B02A7"/>
    <w:rsid w:val="671B2EF2"/>
    <w:rsid w:val="6732010A"/>
    <w:rsid w:val="675B6F05"/>
    <w:rsid w:val="675F10E8"/>
    <w:rsid w:val="67721F8C"/>
    <w:rsid w:val="677A3AA5"/>
    <w:rsid w:val="677C0BF7"/>
    <w:rsid w:val="677D2510"/>
    <w:rsid w:val="677E2968"/>
    <w:rsid w:val="679E7A1F"/>
    <w:rsid w:val="67AF466A"/>
    <w:rsid w:val="67B36D91"/>
    <w:rsid w:val="67CD4770"/>
    <w:rsid w:val="67DF5131"/>
    <w:rsid w:val="67E0527D"/>
    <w:rsid w:val="67E31422"/>
    <w:rsid w:val="67EA4D75"/>
    <w:rsid w:val="67F8136D"/>
    <w:rsid w:val="680B3317"/>
    <w:rsid w:val="682C3322"/>
    <w:rsid w:val="68570DC2"/>
    <w:rsid w:val="6868422B"/>
    <w:rsid w:val="68847A53"/>
    <w:rsid w:val="68A864AF"/>
    <w:rsid w:val="68EB5CB2"/>
    <w:rsid w:val="690220BD"/>
    <w:rsid w:val="69030DDF"/>
    <w:rsid w:val="6912744C"/>
    <w:rsid w:val="69187AE4"/>
    <w:rsid w:val="69273460"/>
    <w:rsid w:val="69336BFC"/>
    <w:rsid w:val="694F15B3"/>
    <w:rsid w:val="695276CE"/>
    <w:rsid w:val="69611825"/>
    <w:rsid w:val="696E6A02"/>
    <w:rsid w:val="69797C2C"/>
    <w:rsid w:val="69823C91"/>
    <w:rsid w:val="69826BA8"/>
    <w:rsid w:val="698A1E75"/>
    <w:rsid w:val="6998191E"/>
    <w:rsid w:val="699D3999"/>
    <w:rsid w:val="69B3536F"/>
    <w:rsid w:val="69BF1493"/>
    <w:rsid w:val="69C5778C"/>
    <w:rsid w:val="69C953F4"/>
    <w:rsid w:val="69D15066"/>
    <w:rsid w:val="69E55D04"/>
    <w:rsid w:val="69E71CBB"/>
    <w:rsid w:val="6A07169A"/>
    <w:rsid w:val="6A1904ED"/>
    <w:rsid w:val="6A4E63D2"/>
    <w:rsid w:val="6A72023C"/>
    <w:rsid w:val="6A835F76"/>
    <w:rsid w:val="6A892BBB"/>
    <w:rsid w:val="6A934155"/>
    <w:rsid w:val="6A977D6C"/>
    <w:rsid w:val="6A981DCD"/>
    <w:rsid w:val="6AB71A6D"/>
    <w:rsid w:val="6AE65368"/>
    <w:rsid w:val="6B0B7BB9"/>
    <w:rsid w:val="6B1C3891"/>
    <w:rsid w:val="6B3F28EF"/>
    <w:rsid w:val="6B4C5F2C"/>
    <w:rsid w:val="6B561562"/>
    <w:rsid w:val="6B5A2A48"/>
    <w:rsid w:val="6B620C02"/>
    <w:rsid w:val="6B702C55"/>
    <w:rsid w:val="6B743F45"/>
    <w:rsid w:val="6B792121"/>
    <w:rsid w:val="6B8019CD"/>
    <w:rsid w:val="6B8F7643"/>
    <w:rsid w:val="6B9A4DEC"/>
    <w:rsid w:val="6BAA3072"/>
    <w:rsid w:val="6BB4311A"/>
    <w:rsid w:val="6BCE7A05"/>
    <w:rsid w:val="6BFF45AB"/>
    <w:rsid w:val="6C081D85"/>
    <w:rsid w:val="6C0B6EFE"/>
    <w:rsid w:val="6C337910"/>
    <w:rsid w:val="6C404FA0"/>
    <w:rsid w:val="6C4B4E38"/>
    <w:rsid w:val="6C5343CE"/>
    <w:rsid w:val="6C5643DD"/>
    <w:rsid w:val="6C727D8C"/>
    <w:rsid w:val="6C804214"/>
    <w:rsid w:val="6CB56876"/>
    <w:rsid w:val="6CC419F3"/>
    <w:rsid w:val="6CC469B5"/>
    <w:rsid w:val="6CC52465"/>
    <w:rsid w:val="6CC5648B"/>
    <w:rsid w:val="6CCC3EC6"/>
    <w:rsid w:val="6CE97F64"/>
    <w:rsid w:val="6CEB0E2F"/>
    <w:rsid w:val="6CF549E6"/>
    <w:rsid w:val="6CFA1076"/>
    <w:rsid w:val="6D191CDD"/>
    <w:rsid w:val="6D22611B"/>
    <w:rsid w:val="6D564DD4"/>
    <w:rsid w:val="6D5E77D6"/>
    <w:rsid w:val="6D7454FD"/>
    <w:rsid w:val="6D751B26"/>
    <w:rsid w:val="6D7E1BB3"/>
    <w:rsid w:val="6D967A6A"/>
    <w:rsid w:val="6D9919F3"/>
    <w:rsid w:val="6DA31ABE"/>
    <w:rsid w:val="6DD63486"/>
    <w:rsid w:val="6DE62D4F"/>
    <w:rsid w:val="6E000876"/>
    <w:rsid w:val="6E014891"/>
    <w:rsid w:val="6E097405"/>
    <w:rsid w:val="6E101629"/>
    <w:rsid w:val="6E145A7C"/>
    <w:rsid w:val="6E160D9C"/>
    <w:rsid w:val="6E4662DC"/>
    <w:rsid w:val="6E511E37"/>
    <w:rsid w:val="6E5B554A"/>
    <w:rsid w:val="6E5C7D35"/>
    <w:rsid w:val="6E674912"/>
    <w:rsid w:val="6E6A4764"/>
    <w:rsid w:val="6E746D80"/>
    <w:rsid w:val="6E9821A1"/>
    <w:rsid w:val="6EA2047A"/>
    <w:rsid w:val="6EEC2156"/>
    <w:rsid w:val="6EF76E3B"/>
    <w:rsid w:val="6F2E4584"/>
    <w:rsid w:val="6F721BEC"/>
    <w:rsid w:val="6F7826CF"/>
    <w:rsid w:val="6F8F70CC"/>
    <w:rsid w:val="6F972CFB"/>
    <w:rsid w:val="6F9A3481"/>
    <w:rsid w:val="6F9F2DC4"/>
    <w:rsid w:val="6FAA3674"/>
    <w:rsid w:val="6FB07698"/>
    <w:rsid w:val="6FDB7436"/>
    <w:rsid w:val="6FDF3A89"/>
    <w:rsid w:val="6FE07F82"/>
    <w:rsid w:val="6FEB35BA"/>
    <w:rsid w:val="6FF2376F"/>
    <w:rsid w:val="6FF81393"/>
    <w:rsid w:val="70003C65"/>
    <w:rsid w:val="70005178"/>
    <w:rsid w:val="70052F32"/>
    <w:rsid w:val="70065B25"/>
    <w:rsid w:val="7022547F"/>
    <w:rsid w:val="70296D61"/>
    <w:rsid w:val="70305E41"/>
    <w:rsid w:val="704D5C5C"/>
    <w:rsid w:val="70565E69"/>
    <w:rsid w:val="706D4E67"/>
    <w:rsid w:val="708014F1"/>
    <w:rsid w:val="70A40930"/>
    <w:rsid w:val="70A7716A"/>
    <w:rsid w:val="70AA59AD"/>
    <w:rsid w:val="70B8391A"/>
    <w:rsid w:val="70C278F5"/>
    <w:rsid w:val="70D55D00"/>
    <w:rsid w:val="70DC06A6"/>
    <w:rsid w:val="70DD4BB8"/>
    <w:rsid w:val="70FF1E43"/>
    <w:rsid w:val="71092536"/>
    <w:rsid w:val="710F3080"/>
    <w:rsid w:val="712251D1"/>
    <w:rsid w:val="715C0436"/>
    <w:rsid w:val="716213EE"/>
    <w:rsid w:val="7165132D"/>
    <w:rsid w:val="716D18D5"/>
    <w:rsid w:val="71720E78"/>
    <w:rsid w:val="71805813"/>
    <w:rsid w:val="7188634B"/>
    <w:rsid w:val="71904773"/>
    <w:rsid w:val="71992AB4"/>
    <w:rsid w:val="71B95C18"/>
    <w:rsid w:val="71BB16C3"/>
    <w:rsid w:val="71BB467B"/>
    <w:rsid w:val="71BD3980"/>
    <w:rsid w:val="71C417B3"/>
    <w:rsid w:val="71D012DA"/>
    <w:rsid w:val="71E63697"/>
    <w:rsid w:val="7202528F"/>
    <w:rsid w:val="72317074"/>
    <w:rsid w:val="723472E2"/>
    <w:rsid w:val="72386A0D"/>
    <w:rsid w:val="726C5886"/>
    <w:rsid w:val="727262A0"/>
    <w:rsid w:val="72806500"/>
    <w:rsid w:val="72A73849"/>
    <w:rsid w:val="72A84BC9"/>
    <w:rsid w:val="72F7152C"/>
    <w:rsid w:val="72FA1ED6"/>
    <w:rsid w:val="72FE21A1"/>
    <w:rsid w:val="73124BBA"/>
    <w:rsid w:val="732C3B50"/>
    <w:rsid w:val="73354371"/>
    <w:rsid w:val="733D3183"/>
    <w:rsid w:val="73432F84"/>
    <w:rsid w:val="734D4E6B"/>
    <w:rsid w:val="735C71B3"/>
    <w:rsid w:val="737816A8"/>
    <w:rsid w:val="737C58BE"/>
    <w:rsid w:val="737E7075"/>
    <w:rsid w:val="73937D3A"/>
    <w:rsid w:val="73A31C75"/>
    <w:rsid w:val="73AE3CBE"/>
    <w:rsid w:val="73AF49BD"/>
    <w:rsid w:val="73E154A0"/>
    <w:rsid w:val="73F641AB"/>
    <w:rsid w:val="73F92E98"/>
    <w:rsid w:val="740E2030"/>
    <w:rsid w:val="74144EA0"/>
    <w:rsid w:val="741D661B"/>
    <w:rsid w:val="74291CE9"/>
    <w:rsid w:val="742A3BDB"/>
    <w:rsid w:val="74347BB6"/>
    <w:rsid w:val="743A3D1F"/>
    <w:rsid w:val="744426E2"/>
    <w:rsid w:val="745466A7"/>
    <w:rsid w:val="74601BD6"/>
    <w:rsid w:val="74750914"/>
    <w:rsid w:val="74785503"/>
    <w:rsid w:val="74822038"/>
    <w:rsid w:val="748C29E9"/>
    <w:rsid w:val="74AB4551"/>
    <w:rsid w:val="74B94487"/>
    <w:rsid w:val="74E0285E"/>
    <w:rsid w:val="74E41E18"/>
    <w:rsid w:val="74EE7A3F"/>
    <w:rsid w:val="74F4751F"/>
    <w:rsid w:val="74F94A87"/>
    <w:rsid w:val="74F97E05"/>
    <w:rsid w:val="751968C4"/>
    <w:rsid w:val="752341C1"/>
    <w:rsid w:val="755172C5"/>
    <w:rsid w:val="755529D0"/>
    <w:rsid w:val="7567351D"/>
    <w:rsid w:val="75692C6E"/>
    <w:rsid w:val="757C1012"/>
    <w:rsid w:val="759B6AFB"/>
    <w:rsid w:val="759E4EA7"/>
    <w:rsid w:val="75C068A9"/>
    <w:rsid w:val="75DB4086"/>
    <w:rsid w:val="75E417B2"/>
    <w:rsid w:val="76132FE4"/>
    <w:rsid w:val="763656E0"/>
    <w:rsid w:val="763C3EA3"/>
    <w:rsid w:val="76400507"/>
    <w:rsid w:val="764440D9"/>
    <w:rsid w:val="765C674B"/>
    <w:rsid w:val="768E55DA"/>
    <w:rsid w:val="769F6C8C"/>
    <w:rsid w:val="76A0160E"/>
    <w:rsid w:val="76A54445"/>
    <w:rsid w:val="76BD097A"/>
    <w:rsid w:val="76D64223"/>
    <w:rsid w:val="76E30140"/>
    <w:rsid w:val="76E61D96"/>
    <w:rsid w:val="76F754DC"/>
    <w:rsid w:val="77363120"/>
    <w:rsid w:val="775F3709"/>
    <w:rsid w:val="777C2047"/>
    <w:rsid w:val="777E72EB"/>
    <w:rsid w:val="77837BFC"/>
    <w:rsid w:val="77872A68"/>
    <w:rsid w:val="778963A8"/>
    <w:rsid w:val="7795400E"/>
    <w:rsid w:val="77A95C32"/>
    <w:rsid w:val="77AB1F47"/>
    <w:rsid w:val="77B63286"/>
    <w:rsid w:val="77E17B5D"/>
    <w:rsid w:val="77F8029D"/>
    <w:rsid w:val="780D0AF4"/>
    <w:rsid w:val="78106987"/>
    <w:rsid w:val="781B54E5"/>
    <w:rsid w:val="78260A22"/>
    <w:rsid w:val="783212C7"/>
    <w:rsid w:val="78324765"/>
    <w:rsid w:val="783B622A"/>
    <w:rsid w:val="784063F8"/>
    <w:rsid w:val="78555C36"/>
    <w:rsid w:val="785B044D"/>
    <w:rsid w:val="785F7AC3"/>
    <w:rsid w:val="78617FD5"/>
    <w:rsid w:val="78854964"/>
    <w:rsid w:val="78981E14"/>
    <w:rsid w:val="78A16DC0"/>
    <w:rsid w:val="78A64E78"/>
    <w:rsid w:val="78BC4079"/>
    <w:rsid w:val="78CB79FF"/>
    <w:rsid w:val="78D163F7"/>
    <w:rsid w:val="78DD52D7"/>
    <w:rsid w:val="78EB582C"/>
    <w:rsid w:val="78F04942"/>
    <w:rsid w:val="78F51C92"/>
    <w:rsid w:val="78FC5DA2"/>
    <w:rsid w:val="78FF5438"/>
    <w:rsid w:val="78FF75C8"/>
    <w:rsid w:val="790A5D98"/>
    <w:rsid w:val="790D76E0"/>
    <w:rsid w:val="7914182E"/>
    <w:rsid w:val="794E1E8C"/>
    <w:rsid w:val="794E6DA1"/>
    <w:rsid w:val="7963001B"/>
    <w:rsid w:val="796411F3"/>
    <w:rsid w:val="79782668"/>
    <w:rsid w:val="797D7C7B"/>
    <w:rsid w:val="798473C1"/>
    <w:rsid w:val="79A917D5"/>
    <w:rsid w:val="79F866D7"/>
    <w:rsid w:val="7A0D5030"/>
    <w:rsid w:val="7A1F0B92"/>
    <w:rsid w:val="7A2F0FE2"/>
    <w:rsid w:val="7A3B0D02"/>
    <w:rsid w:val="7A3C0448"/>
    <w:rsid w:val="7A462225"/>
    <w:rsid w:val="7A4B1579"/>
    <w:rsid w:val="7A560120"/>
    <w:rsid w:val="7A9F5588"/>
    <w:rsid w:val="7AAF3A90"/>
    <w:rsid w:val="7AB01D8D"/>
    <w:rsid w:val="7ABE4F6D"/>
    <w:rsid w:val="7ABF15A2"/>
    <w:rsid w:val="7AC8595C"/>
    <w:rsid w:val="7AD83D61"/>
    <w:rsid w:val="7AD8638B"/>
    <w:rsid w:val="7ADE1C5E"/>
    <w:rsid w:val="7AE04EF0"/>
    <w:rsid w:val="7AE66DF9"/>
    <w:rsid w:val="7AE9138D"/>
    <w:rsid w:val="7AF30762"/>
    <w:rsid w:val="7B0831DB"/>
    <w:rsid w:val="7B127C9A"/>
    <w:rsid w:val="7B132239"/>
    <w:rsid w:val="7B14085D"/>
    <w:rsid w:val="7B21591B"/>
    <w:rsid w:val="7B3525E5"/>
    <w:rsid w:val="7B3B4883"/>
    <w:rsid w:val="7B4F6860"/>
    <w:rsid w:val="7B616B8F"/>
    <w:rsid w:val="7B77268D"/>
    <w:rsid w:val="7B7D6711"/>
    <w:rsid w:val="7B7F209E"/>
    <w:rsid w:val="7B854D5B"/>
    <w:rsid w:val="7B990D55"/>
    <w:rsid w:val="7BA521B3"/>
    <w:rsid w:val="7BAF270A"/>
    <w:rsid w:val="7BBE34FB"/>
    <w:rsid w:val="7BC27BB4"/>
    <w:rsid w:val="7BCE26A5"/>
    <w:rsid w:val="7BE7137F"/>
    <w:rsid w:val="7BF333D1"/>
    <w:rsid w:val="7C036F42"/>
    <w:rsid w:val="7C18182D"/>
    <w:rsid w:val="7C1E48E8"/>
    <w:rsid w:val="7C3D63E5"/>
    <w:rsid w:val="7C6F2369"/>
    <w:rsid w:val="7C8A0A6B"/>
    <w:rsid w:val="7C8C4745"/>
    <w:rsid w:val="7C930BAE"/>
    <w:rsid w:val="7CBF7665"/>
    <w:rsid w:val="7CBF7924"/>
    <w:rsid w:val="7CCB2B42"/>
    <w:rsid w:val="7CDF2E23"/>
    <w:rsid w:val="7CFC37A3"/>
    <w:rsid w:val="7D0522E0"/>
    <w:rsid w:val="7D176CD4"/>
    <w:rsid w:val="7D18193F"/>
    <w:rsid w:val="7D316BAB"/>
    <w:rsid w:val="7D3C36D7"/>
    <w:rsid w:val="7D4E6D0D"/>
    <w:rsid w:val="7D6D7F9D"/>
    <w:rsid w:val="7D737ECC"/>
    <w:rsid w:val="7D7F4D51"/>
    <w:rsid w:val="7D8354C7"/>
    <w:rsid w:val="7D941C0F"/>
    <w:rsid w:val="7DAB67A3"/>
    <w:rsid w:val="7DB44B27"/>
    <w:rsid w:val="7DC92892"/>
    <w:rsid w:val="7DDC5561"/>
    <w:rsid w:val="7DE805EC"/>
    <w:rsid w:val="7E180D00"/>
    <w:rsid w:val="7E1A5F33"/>
    <w:rsid w:val="7E1B1677"/>
    <w:rsid w:val="7E4C0278"/>
    <w:rsid w:val="7E554F28"/>
    <w:rsid w:val="7E582A5A"/>
    <w:rsid w:val="7E705793"/>
    <w:rsid w:val="7E851695"/>
    <w:rsid w:val="7E865444"/>
    <w:rsid w:val="7E970A59"/>
    <w:rsid w:val="7EAF7104"/>
    <w:rsid w:val="7EB270C2"/>
    <w:rsid w:val="7ECB20C5"/>
    <w:rsid w:val="7ED9614C"/>
    <w:rsid w:val="7EEC2601"/>
    <w:rsid w:val="7F0E419C"/>
    <w:rsid w:val="7F1A430A"/>
    <w:rsid w:val="7F1A7380"/>
    <w:rsid w:val="7F1B6A1F"/>
    <w:rsid w:val="7F1C3521"/>
    <w:rsid w:val="7F2C2C1A"/>
    <w:rsid w:val="7F341C62"/>
    <w:rsid w:val="7F497E6B"/>
    <w:rsid w:val="7F5C2611"/>
    <w:rsid w:val="7F7815B7"/>
    <w:rsid w:val="7F8D6516"/>
    <w:rsid w:val="7F9075B7"/>
    <w:rsid w:val="7F9614FF"/>
    <w:rsid w:val="7F9C2851"/>
    <w:rsid w:val="7F9C3B32"/>
    <w:rsid w:val="7FCB421A"/>
    <w:rsid w:val="7FCF058D"/>
    <w:rsid w:val="7FDE5C9E"/>
    <w:rsid w:val="7FE655FC"/>
    <w:rsid w:val="7FE677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A27F89-87E8-443C-B194-754A47BC909C}">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4</Pages>
  <Words>1787</Words>
  <Characters>10190</Characters>
  <Lines>84</Lines>
  <Paragraphs>23</Paragraphs>
  <TotalTime>3</TotalTime>
  <ScaleCrop>false</ScaleCrop>
  <LinksUpToDate>false</LinksUpToDate>
  <CharactersWithSpaces>11954</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2019-03-28T07:21:00Z</dcterms:created>
  <dc:creator>10033860</dc:creator>
  <cp:lastModifiedBy>ZTE</cp:lastModifiedBy>
  <cp:lastPrinted>2113-01-01T00:00:00Z</cp:lastPrinted>
  <dcterms:modified xsi:type="dcterms:W3CDTF">2019-05-03T02:22:14Z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